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32A32" w14:textId="60C10263" w:rsidR="00591AAB" w:rsidRPr="00FC4B3D" w:rsidRDefault="00591AAB" w:rsidP="00591AAB">
      <w:pPr>
        <w:spacing w:line="360" w:lineRule="auto"/>
        <w:jc w:val="both"/>
        <w:rPr>
          <w:rFonts w:ascii="Garamond" w:hAnsi="Garamond"/>
          <w:b/>
          <w:sz w:val="24"/>
          <w:szCs w:val="24"/>
        </w:rPr>
      </w:pPr>
      <w:r w:rsidRPr="00FC4B3D">
        <w:rPr>
          <w:rFonts w:ascii="Garamond" w:hAnsi="Garamond"/>
          <w:b/>
          <w:sz w:val="24"/>
          <w:szCs w:val="24"/>
        </w:rPr>
        <w:t xml:space="preserve">“I Know”, “I </w:t>
      </w:r>
      <w:r w:rsidRPr="00FC4B3D">
        <w:rPr>
          <w:rFonts w:ascii="Garamond" w:hAnsi="Garamond"/>
          <w:b/>
          <w:i/>
          <w:sz w:val="24"/>
          <w:szCs w:val="24"/>
        </w:rPr>
        <w:t>k</w:t>
      </w:r>
      <w:r w:rsidR="0069258D" w:rsidRPr="00FC4B3D">
        <w:rPr>
          <w:rFonts w:ascii="Garamond" w:hAnsi="Garamond"/>
          <w:b/>
          <w:sz w:val="24"/>
          <w:szCs w:val="24"/>
        </w:rPr>
        <w:t xml:space="preserve">now”, </w:t>
      </w:r>
      <w:r w:rsidRPr="00FC4B3D">
        <w:rPr>
          <w:rFonts w:ascii="Garamond" w:hAnsi="Garamond"/>
          <w:b/>
          <w:sz w:val="24"/>
          <w:szCs w:val="24"/>
        </w:rPr>
        <w:t xml:space="preserve">“I </w:t>
      </w:r>
      <w:r w:rsidRPr="00FC4B3D">
        <w:rPr>
          <w:rFonts w:ascii="Garamond" w:hAnsi="Garamond"/>
          <w:b/>
          <w:sz w:val="24"/>
          <w:szCs w:val="24"/>
          <w:u w:val="single"/>
        </w:rPr>
        <w:t>k</w:t>
      </w:r>
      <w:r w:rsidRPr="00FC4B3D">
        <w:rPr>
          <w:rFonts w:ascii="Garamond" w:hAnsi="Garamond"/>
          <w:b/>
          <w:sz w:val="24"/>
          <w:szCs w:val="24"/>
        </w:rPr>
        <w:t xml:space="preserve">now”. Hinge epistemology, </w:t>
      </w:r>
      <w:proofErr w:type="spellStart"/>
      <w:r w:rsidRPr="00FC4B3D">
        <w:rPr>
          <w:rFonts w:ascii="Garamond" w:hAnsi="Garamond"/>
          <w:b/>
          <w:sz w:val="24"/>
          <w:szCs w:val="24"/>
        </w:rPr>
        <w:t>invariantism</w:t>
      </w:r>
      <w:proofErr w:type="spellEnd"/>
      <w:r w:rsidRPr="00FC4B3D">
        <w:rPr>
          <w:rFonts w:ascii="Garamond" w:hAnsi="Garamond"/>
          <w:b/>
          <w:sz w:val="24"/>
          <w:szCs w:val="24"/>
        </w:rPr>
        <w:t xml:space="preserve"> and skepticism</w:t>
      </w:r>
      <w:r w:rsidR="009462EC" w:rsidRPr="00FC4B3D">
        <w:rPr>
          <w:rStyle w:val="FootnoteReference"/>
          <w:rFonts w:ascii="Garamond" w:hAnsi="Garamond"/>
          <w:b/>
          <w:sz w:val="24"/>
          <w:szCs w:val="24"/>
        </w:rPr>
        <w:footnoteReference w:customMarkFollows="1" w:id="1"/>
        <w:t>*</w:t>
      </w:r>
    </w:p>
    <w:p w14:paraId="65169641" w14:textId="77777777" w:rsidR="00591AAB" w:rsidRPr="00FC4B3D" w:rsidRDefault="00591AAB" w:rsidP="00591AAB">
      <w:pPr>
        <w:spacing w:line="360" w:lineRule="auto"/>
        <w:jc w:val="both"/>
        <w:rPr>
          <w:rFonts w:ascii="Garamond" w:hAnsi="Garamond"/>
          <w:sz w:val="24"/>
          <w:szCs w:val="24"/>
        </w:rPr>
      </w:pPr>
      <w:r w:rsidRPr="00FC4B3D">
        <w:rPr>
          <w:rFonts w:ascii="Garamond" w:hAnsi="Garamond"/>
          <w:sz w:val="24"/>
          <w:szCs w:val="24"/>
        </w:rPr>
        <w:t xml:space="preserve">Annalisa </w:t>
      </w:r>
      <w:proofErr w:type="spellStart"/>
      <w:r w:rsidRPr="00FC4B3D">
        <w:rPr>
          <w:rFonts w:ascii="Garamond" w:hAnsi="Garamond"/>
          <w:sz w:val="24"/>
          <w:szCs w:val="24"/>
        </w:rPr>
        <w:t>Coliva</w:t>
      </w:r>
      <w:proofErr w:type="spellEnd"/>
    </w:p>
    <w:p w14:paraId="2E8F3081" w14:textId="77777777" w:rsidR="00591AAB" w:rsidRPr="00FC4B3D" w:rsidRDefault="00591AAB" w:rsidP="00591AAB">
      <w:pPr>
        <w:spacing w:line="360" w:lineRule="auto"/>
        <w:jc w:val="both"/>
        <w:rPr>
          <w:rFonts w:ascii="Garamond" w:hAnsi="Garamond"/>
          <w:sz w:val="24"/>
          <w:szCs w:val="24"/>
        </w:rPr>
      </w:pPr>
      <w:r w:rsidRPr="00FC4B3D">
        <w:rPr>
          <w:rFonts w:ascii="Garamond" w:hAnsi="Garamond"/>
          <w:sz w:val="24"/>
          <w:szCs w:val="24"/>
        </w:rPr>
        <w:t>University of California, Irvine</w:t>
      </w:r>
    </w:p>
    <w:p w14:paraId="46448620" w14:textId="77777777" w:rsidR="00591AAB" w:rsidRPr="00FC4B3D" w:rsidRDefault="00591AAB" w:rsidP="00591AAB">
      <w:pPr>
        <w:spacing w:line="360" w:lineRule="auto"/>
        <w:jc w:val="both"/>
        <w:rPr>
          <w:rFonts w:ascii="Garamond" w:hAnsi="Garamond"/>
          <w:sz w:val="24"/>
          <w:szCs w:val="24"/>
        </w:rPr>
      </w:pPr>
    </w:p>
    <w:p w14:paraId="4DDA5B7B" w14:textId="34832885" w:rsidR="00EC2081" w:rsidRPr="00FC4B3D" w:rsidRDefault="00EC2081" w:rsidP="00591AAB">
      <w:pPr>
        <w:spacing w:line="360" w:lineRule="auto"/>
        <w:jc w:val="both"/>
        <w:rPr>
          <w:rFonts w:ascii="Garamond" w:hAnsi="Garamond"/>
          <w:sz w:val="24"/>
          <w:szCs w:val="24"/>
        </w:rPr>
      </w:pPr>
      <w:r w:rsidRPr="00FC4B3D">
        <w:rPr>
          <w:rFonts w:ascii="Garamond" w:hAnsi="Garamond"/>
          <w:b/>
          <w:sz w:val="24"/>
          <w:szCs w:val="24"/>
        </w:rPr>
        <w:t>Abstract</w:t>
      </w:r>
      <w:r w:rsidRPr="00FC4B3D">
        <w:rPr>
          <w:rFonts w:ascii="Garamond" w:hAnsi="Garamond"/>
          <w:sz w:val="24"/>
          <w:szCs w:val="24"/>
        </w:rPr>
        <w:t>: In this paper, I first present and discuss in some depth Wittgenstein’s radical form of contextualism about knowledge</w:t>
      </w:r>
      <w:r w:rsidR="009E4038" w:rsidRPr="00FC4B3D">
        <w:rPr>
          <w:rFonts w:ascii="Garamond" w:hAnsi="Garamond"/>
          <w:sz w:val="24"/>
          <w:szCs w:val="24"/>
        </w:rPr>
        <w:t xml:space="preserve"> ascriptions</w:t>
      </w:r>
      <w:r w:rsidR="00166733" w:rsidRPr="00FC4B3D">
        <w:rPr>
          <w:rFonts w:ascii="Garamond" w:hAnsi="Garamond"/>
          <w:sz w:val="24"/>
          <w:szCs w:val="24"/>
        </w:rPr>
        <w:t xml:space="preserve"> (§1)</w:t>
      </w:r>
      <w:r w:rsidRPr="00FC4B3D">
        <w:rPr>
          <w:rFonts w:ascii="Garamond" w:hAnsi="Garamond"/>
          <w:sz w:val="24"/>
          <w:szCs w:val="24"/>
        </w:rPr>
        <w:t>. Accordingly, though superficially similar, uses of “I know” can serve three fun</w:t>
      </w:r>
      <w:r w:rsidR="00166733" w:rsidRPr="00FC4B3D">
        <w:rPr>
          <w:rFonts w:ascii="Garamond" w:hAnsi="Garamond"/>
          <w:sz w:val="24"/>
          <w:szCs w:val="24"/>
        </w:rPr>
        <w:t>damentally different functions: an ordinary, genuinely ep</w:t>
      </w:r>
      <w:r w:rsidR="001841DD" w:rsidRPr="00FC4B3D">
        <w:rPr>
          <w:rFonts w:ascii="Garamond" w:hAnsi="Garamond"/>
          <w:sz w:val="24"/>
          <w:szCs w:val="24"/>
        </w:rPr>
        <w:t>istemic one; a grammatical, non-</w:t>
      </w:r>
      <w:r w:rsidR="00166733" w:rsidRPr="00FC4B3D">
        <w:rPr>
          <w:rFonts w:ascii="Garamond" w:hAnsi="Garamond"/>
          <w:sz w:val="24"/>
          <w:szCs w:val="24"/>
        </w:rPr>
        <w:t xml:space="preserve">epistemic one; and a </w:t>
      </w:r>
      <w:r w:rsidR="009462EC" w:rsidRPr="00FC4B3D">
        <w:rPr>
          <w:rFonts w:ascii="Garamond" w:hAnsi="Garamond"/>
          <w:sz w:val="24"/>
          <w:szCs w:val="24"/>
        </w:rPr>
        <w:t>‘</w:t>
      </w:r>
      <w:r w:rsidR="00166733" w:rsidRPr="00FC4B3D">
        <w:rPr>
          <w:rFonts w:ascii="Garamond" w:hAnsi="Garamond"/>
          <w:sz w:val="24"/>
          <w:szCs w:val="24"/>
        </w:rPr>
        <w:t>philosophical</w:t>
      </w:r>
      <w:r w:rsidR="009462EC" w:rsidRPr="00FC4B3D">
        <w:rPr>
          <w:rFonts w:ascii="Garamond" w:hAnsi="Garamond"/>
          <w:sz w:val="24"/>
          <w:szCs w:val="24"/>
        </w:rPr>
        <w:t>’</w:t>
      </w:r>
      <w:r w:rsidR="00166733" w:rsidRPr="00FC4B3D">
        <w:rPr>
          <w:rFonts w:ascii="Garamond" w:hAnsi="Garamond"/>
          <w:sz w:val="24"/>
          <w:szCs w:val="24"/>
        </w:rPr>
        <w:t>, nonsensical one (§§1.1-1.3). I then briefly present Wittgenstein’s anti-skeptical strategies (§2</w:t>
      </w:r>
      <w:proofErr w:type="gramStart"/>
      <w:r w:rsidR="00166733" w:rsidRPr="00FC4B3D">
        <w:rPr>
          <w:rFonts w:ascii="Garamond" w:hAnsi="Garamond"/>
          <w:sz w:val="24"/>
          <w:szCs w:val="24"/>
        </w:rPr>
        <w:t>), and</w:t>
      </w:r>
      <w:proofErr w:type="gramEnd"/>
      <w:r w:rsidR="00166733" w:rsidRPr="00FC4B3D">
        <w:rPr>
          <w:rFonts w:ascii="Garamond" w:hAnsi="Garamond"/>
          <w:sz w:val="24"/>
          <w:szCs w:val="24"/>
        </w:rPr>
        <w:t xml:space="preserve"> compare my reading </w:t>
      </w:r>
      <w:r w:rsidR="003D242A" w:rsidRPr="00FC4B3D">
        <w:rPr>
          <w:rFonts w:ascii="Garamond" w:hAnsi="Garamond"/>
          <w:sz w:val="24"/>
          <w:szCs w:val="24"/>
        </w:rPr>
        <w:t xml:space="preserve">of </w:t>
      </w:r>
      <w:r w:rsidR="003D242A" w:rsidRPr="00FC4B3D">
        <w:rPr>
          <w:rFonts w:ascii="Garamond" w:hAnsi="Garamond"/>
          <w:i/>
          <w:sz w:val="24"/>
          <w:szCs w:val="24"/>
        </w:rPr>
        <w:t>On Certainty</w:t>
      </w:r>
      <w:r w:rsidR="003D242A" w:rsidRPr="00FC4B3D">
        <w:rPr>
          <w:rFonts w:ascii="Garamond" w:hAnsi="Garamond"/>
          <w:sz w:val="24"/>
          <w:szCs w:val="24"/>
        </w:rPr>
        <w:t xml:space="preserve"> </w:t>
      </w:r>
      <w:r w:rsidR="00166733" w:rsidRPr="00FC4B3D">
        <w:rPr>
          <w:rFonts w:ascii="Garamond" w:hAnsi="Garamond"/>
          <w:sz w:val="24"/>
          <w:szCs w:val="24"/>
        </w:rPr>
        <w:t>with therapeutic ones</w:t>
      </w:r>
      <w:r w:rsidR="003D242A" w:rsidRPr="00FC4B3D">
        <w:rPr>
          <w:rFonts w:ascii="Garamond" w:hAnsi="Garamond"/>
          <w:sz w:val="24"/>
          <w:szCs w:val="24"/>
        </w:rPr>
        <w:t xml:space="preserve"> (§3.1), and with </w:t>
      </w:r>
      <w:r w:rsidR="00166733" w:rsidRPr="00FC4B3D">
        <w:rPr>
          <w:rFonts w:ascii="Garamond" w:hAnsi="Garamond"/>
          <w:sz w:val="24"/>
          <w:szCs w:val="24"/>
        </w:rPr>
        <w:t>contextualist ones, such as Travis’ and Williams’</w:t>
      </w:r>
      <w:r w:rsidR="003D242A" w:rsidRPr="00FC4B3D">
        <w:rPr>
          <w:rFonts w:ascii="Garamond" w:hAnsi="Garamond"/>
          <w:sz w:val="24"/>
          <w:szCs w:val="24"/>
        </w:rPr>
        <w:t xml:space="preserve"> (§3.3</w:t>
      </w:r>
      <w:r w:rsidR="00166733" w:rsidRPr="00FC4B3D">
        <w:rPr>
          <w:rFonts w:ascii="Garamond" w:hAnsi="Garamond"/>
          <w:sz w:val="24"/>
          <w:szCs w:val="24"/>
        </w:rPr>
        <w:t xml:space="preserve">-3.3). </w:t>
      </w:r>
      <w:r w:rsidR="0094375D" w:rsidRPr="00FC4B3D">
        <w:rPr>
          <w:rFonts w:ascii="Garamond" w:hAnsi="Garamond"/>
          <w:sz w:val="24"/>
          <w:szCs w:val="24"/>
        </w:rPr>
        <w:t>O</w:t>
      </w:r>
      <w:r w:rsidRPr="00FC4B3D">
        <w:rPr>
          <w:rFonts w:ascii="Garamond" w:hAnsi="Garamond"/>
          <w:sz w:val="24"/>
          <w:szCs w:val="24"/>
        </w:rPr>
        <w:t xml:space="preserve">n reflection, the </w:t>
      </w:r>
      <w:r w:rsidR="00166733" w:rsidRPr="00FC4B3D">
        <w:rPr>
          <w:rFonts w:ascii="Garamond" w:hAnsi="Garamond"/>
          <w:sz w:val="24"/>
          <w:szCs w:val="24"/>
        </w:rPr>
        <w:t>ordinary use of “I k</w:t>
      </w:r>
      <w:r w:rsidR="002B1B81" w:rsidRPr="00FC4B3D">
        <w:rPr>
          <w:rFonts w:ascii="Garamond" w:hAnsi="Garamond"/>
          <w:sz w:val="24"/>
          <w:szCs w:val="24"/>
        </w:rPr>
        <w:t xml:space="preserve">now” </w:t>
      </w:r>
      <w:r w:rsidR="00166733" w:rsidRPr="00FC4B3D">
        <w:rPr>
          <w:rFonts w:ascii="Garamond" w:hAnsi="Garamond"/>
          <w:sz w:val="24"/>
          <w:szCs w:val="24"/>
        </w:rPr>
        <w:t>turns out to be</w:t>
      </w:r>
      <w:r w:rsidRPr="00FC4B3D">
        <w:rPr>
          <w:rFonts w:ascii="Garamond" w:hAnsi="Garamond"/>
          <w:sz w:val="24"/>
          <w:szCs w:val="24"/>
        </w:rPr>
        <w:t xml:space="preserve"> the only common ground between Wittgenstein’s position</w:t>
      </w:r>
      <w:r w:rsidR="002B1B81" w:rsidRPr="00FC4B3D">
        <w:rPr>
          <w:rFonts w:ascii="Garamond" w:hAnsi="Garamond"/>
          <w:sz w:val="24"/>
          <w:szCs w:val="24"/>
        </w:rPr>
        <w:t xml:space="preserve"> and contemporary contextualism</w:t>
      </w:r>
      <w:r w:rsidR="003D242A" w:rsidRPr="00FC4B3D">
        <w:rPr>
          <w:rFonts w:ascii="Garamond" w:hAnsi="Garamond"/>
          <w:sz w:val="24"/>
          <w:szCs w:val="24"/>
        </w:rPr>
        <w:t xml:space="preserve"> regarding knowledge ascriptions</w:t>
      </w:r>
      <w:r w:rsidR="002B1B81" w:rsidRPr="00FC4B3D">
        <w:rPr>
          <w:rFonts w:ascii="Garamond" w:hAnsi="Garamond"/>
          <w:sz w:val="24"/>
          <w:szCs w:val="24"/>
        </w:rPr>
        <w:t>. With respe</w:t>
      </w:r>
      <w:r w:rsidR="003D242A" w:rsidRPr="00FC4B3D">
        <w:rPr>
          <w:rFonts w:ascii="Garamond" w:hAnsi="Garamond"/>
          <w:sz w:val="24"/>
          <w:szCs w:val="24"/>
        </w:rPr>
        <w:t xml:space="preserve">ct </w:t>
      </w:r>
      <w:r w:rsidR="001A3100" w:rsidRPr="00FC4B3D">
        <w:rPr>
          <w:rFonts w:ascii="Garamond" w:hAnsi="Garamond"/>
          <w:sz w:val="24"/>
          <w:szCs w:val="24"/>
        </w:rPr>
        <w:t xml:space="preserve">to </w:t>
      </w:r>
      <w:r w:rsidR="003D242A" w:rsidRPr="00FC4B3D">
        <w:rPr>
          <w:rFonts w:ascii="Garamond" w:hAnsi="Garamond"/>
          <w:sz w:val="24"/>
          <w:szCs w:val="24"/>
        </w:rPr>
        <w:t>such a use</w:t>
      </w:r>
      <w:r w:rsidR="002B1B81" w:rsidRPr="00FC4B3D">
        <w:rPr>
          <w:rFonts w:ascii="Garamond" w:hAnsi="Garamond"/>
          <w:sz w:val="24"/>
          <w:szCs w:val="24"/>
        </w:rPr>
        <w:t>,</w:t>
      </w:r>
      <w:r w:rsidRPr="00FC4B3D">
        <w:rPr>
          <w:rFonts w:ascii="Garamond" w:hAnsi="Garamond"/>
          <w:sz w:val="24"/>
          <w:szCs w:val="24"/>
        </w:rPr>
        <w:t xml:space="preserve"> Wittgenstein was in fact an </w:t>
      </w:r>
      <w:proofErr w:type="spellStart"/>
      <w:r w:rsidRPr="00FC4B3D">
        <w:rPr>
          <w:rFonts w:ascii="Garamond" w:hAnsi="Garamond"/>
          <w:sz w:val="24"/>
          <w:szCs w:val="24"/>
        </w:rPr>
        <w:t>invariantist</w:t>
      </w:r>
      <w:proofErr w:type="spellEnd"/>
      <w:r w:rsidRPr="00FC4B3D">
        <w:rPr>
          <w:rFonts w:ascii="Garamond" w:hAnsi="Garamond"/>
          <w:sz w:val="24"/>
          <w:szCs w:val="24"/>
        </w:rPr>
        <w:t xml:space="preserve">. </w:t>
      </w:r>
      <w:r w:rsidR="00166733" w:rsidRPr="00FC4B3D">
        <w:rPr>
          <w:rFonts w:ascii="Garamond" w:hAnsi="Garamond"/>
          <w:sz w:val="24"/>
          <w:szCs w:val="24"/>
        </w:rPr>
        <w:t xml:space="preserve">I explore Wittgenstein’s </w:t>
      </w:r>
      <w:proofErr w:type="spellStart"/>
      <w:r w:rsidR="00166733" w:rsidRPr="00FC4B3D">
        <w:rPr>
          <w:rFonts w:ascii="Garamond" w:hAnsi="Garamond"/>
          <w:sz w:val="24"/>
          <w:szCs w:val="24"/>
        </w:rPr>
        <w:t>invariantism</w:t>
      </w:r>
      <w:proofErr w:type="spellEnd"/>
      <w:r w:rsidR="00166733" w:rsidRPr="00FC4B3D">
        <w:rPr>
          <w:rFonts w:ascii="Garamond" w:hAnsi="Garamond"/>
          <w:sz w:val="24"/>
          <w:szCs w:val="24"/>
        </w:rPr>
        <w:t xml:space="preserve"> in (§4). In closing (§5), </w:t>
      </w:r>
      <w:r w:rsidRPr="00FC4B3D">
        <w:rPr>
          <w:rFonts w:ascii="Garamond" w:hAnsi="Garamond"/>
          <w:sz w:val="24"/>
          <w:szCs w:val="24"/>
        </w:rPr>
        <w:t>I consider the relationship between my own version of hinge epistemology</w:t>
      </w:r>
      <w:r w:rsidR="00166733" w:rsidRPr="00FC4B3D">
        <w:rPr>
          <w:rFonts w:ascii="Garamond" w:hAnsi="Garamond"/>
          <w:sz w:val="24"/>
          <w:szCs w:val="24"/>
        </w:rPr>
        <w:t>, contemporary contextualism and skepticism</w:t>
      </w:r>
      <w:r w:rsidRPr="00FC4B3D">
        <w:rPr>
          <w:rFonts w:ascii="Garamond" w:hAnsi="Garamond"/>
          <w:sz w:val="24"/>
          <w:szCs w:val="24"/>
        </w:rPr>
        <w:t xml:space="preserve">. </w:t>
      </w:r>
      <w:r w:rsidR="00166733" w:rsidRPr="00FC4B3D">
        <w:rPr>
          <w:rFonts w:ascii="Garamond" w:hAnsi="Garamond"/>
          <w:sz w:val="24"/>
          <w:szCs w:val="24"/>
        </w:rPr>
        <w:t>W</w:t>
      </w:r>
      <w:r w:rsidRPr="00FC4B3D">
        <w:rPr>
          <w:rFonts w:ascii="Garamond" w:hAnsi="Garamond"/>
          <w:sz w:val="24"/>
          <w:szCs w:val="24"/>
        </w:rPr>
        <w:t>hile I do not follow Wittgenstein in his claim that skeptical doubts are nonsensical, I don’t t</w:t>
      </w:r>
      <w:r w:rsidR="00166733" w:rsidRPr="00FC4B3D">
        <w:rPr>
          <w:rFonts w:ascii="Garamond" w:hAnsi="Garamond"/>
          <w:sz w:val="24"/>
          <w:szCs w:val="24"/>
        </w:rPr>
        <w:t>hink they pose a threat to our ordinary k</w:t>
      </w:r>
      <w:r w:rsidRPr="00FC4B3D">
        <w:rPr>
          <w:rFonts w:ascii="Garamond" w:hAnsi="Garamond"/>
          <w:sz w:val="24"/>
          <w:szCs w:val="24"/>
        </w:rPr>
        <w:t xml:space="preserve">nowledge either. </w:t>
      </w:r>
      <w:r w:rsidR="00166733" w:rsidRPr="00FC4B3D">
        <w:rPr>
          <w:rFonts w:ascii="Garamond" w:hAnsi="Garamond"/>
          <w:sz w:val="24"/>
          <w:szCs w:val="24"/>
        </w:rPr>
        <w:t>Yet, we do not have k</w:t>
      </w:r>
      <w:r w:rsidRPr="00FC4B3D">
        <w:rPr>
          <w:rFonts w:ascii="Garamond" w:hAnsi="Garamond"/>
          <w:sz w:val="24"/>
          <w:szCs w:val="24"/>
        </w:rPr>
        <w:t xml:space="preserve">nowledge of hinges, since reasons for them would be circular. Hinges, rather, are </w:t>
      </w:r>
      <w:r w:rsidR="00166733" w:rsidRPr="00FC4B3D">
        <w:rPr>
          <w:rFonts w:ascii="Garamond" w:hAnsi="Garamond"/>
          <w:sz w:val="24"/>
          <w:szCs w:val="24"/>
        </w:rPr>
        <w:t xml:space="preserve">rationally </w:t>
      </w:r>
      <w:r w:rsidRPr="00FC4B3D">
        <w:rPr>
          <w:rFonts w:ascii="Garamond" w:hAnsi="Garamond"/>
          <w:sz w:val="24"/>
          <w:szCs w:val="24"/>
        </w:rPr>
        <w:t>assumed, albeit without any justification, because they are constitutive of epistemic rationality. With that picture in hand, I then close by defusing the objection, raised by contextualists such as</w:t>
      </w:r>
      <w:r w:rsidR="00166733" w:rsidRPr="00FC4B3D">
        <w:rPr>
          <w:rFonts w:ascii="Garamond" w:hAnsi="Garamond"/>
          <w:sz w:val="24"/>
          <w:szCs w:val="24"/>
        </w:rPr>
        <w:t xml:space="preserve"> DeRose, that if we don’t have k</w:t>
      </w:r>
      <w:r w:rsidRPr="00FC4B3D">
        <w:rPr>
          <w:rFonts w:ascii="Garamond" w:hAnsi="Garamond"/>
          <w:sz w:val="24"/>
          <w:szCs w:val="24"/>
        </w:rPr>
        <w:t>nowledge of hinges, we would have to condone abom</w:t>
      </w:r>
      <w:r w:rsidR="00166733" w:rsidRPr="00FC4B3D">
        <w:rPr>
          <w:rFonts w:ascii="Garamond" w:hAnsi="Garamond"/>
          <w:sz w:val="24"/>
          <w:szCs w:val="24"/>
        </w:rPr>
        <w:t>inable conjunctions such as “I k</w:t>
      </w:r>
      <w:r w:rsidRPr="00FC4B3D">
        <w:rPr>
          <w:rFonts w:ascii="Garamond" w:hAnsi="Garamond"/>
          <w:sz w:val="24"/>
          <w:szCs w:val="24"/>
        </w:rPr>
        <w:t>now the</w:t>
      </w:r>
      <w:r w:rsidR="00166733" w:rsidRPr="00FC4B3D">
        <w:rPr>
          <w:rFonts w:ascii="Garamond" w:hAnsi="Garamond"/>
          <w:sz w:val="24"/>
          <w:szCs w:val="24"/>
        </w:rPr>
        <w:t>re is a hand here, but I don’t k</w:t>
      </w:r>
      <w:r w:rsidRPr="00FC4B3D">
        <w:rPr>
          <w:rFonts w:ascii="Garamond" w:hAnsi="Garamond"/>
          <w:sz w:val="24"/>
          <w:szCs w:val="24"/>
        </w:rPr>
        <w:t xml:space="preserve">now I am not a BIV”. </w:t>
      </w:r>
    </w:p>
    <w:p w14:paraId="4CF46010" w14:textId="77777777" w:rsidR="00EC2081" w:rsidRPr="00FC4B3D" w:rsidRDefault="00EC2081" w:rsidP="0092266C">
      <w:pPr>
        <w:spacing w:line="360" w:lineRule="auto"/>
        <w:jc w:val="both"/>
        <w:rPr>
          <w:rFonts w:ascii="Garamond" w:hAnsi="Garamond"/>
          <w:sz w:val="24"/>
          <w:szCs w:val="24"/>
        </w:rPr>
      </w:pPr>
    </w:p>
    <w:p w14:paraId="5616329B" w14:textId="77777777" w:rsidR="00EC2081" w:rsidRPr="00FC4B3D" w:rsidRDefault="00EC2081" w:rsidP="00591AAB">
      <w:pPr>
        <w:pStyle w:val="ListParagraph"/>
        <w:numPr>
          <w:ilvl w:val="0"/>
          <w:numId w:val="1"/>
        </w:numPr>
        <w:spacing w:line="360" w:lineRule="auto"/>
        <w:jc w:val="both"/>
        <w:rPr>
          <w:rFonts w:ascii="Garamond" w:hAnsi="Garamond"/>
          <w:b/>
          <w:sz w:val="24"/>
          <w:szCs w:val="24"/>
        </w:rPr>
      </w:pPr>
      <w:r w:rsidRPr="00FC4B3D">
        <w:rPr>
          <w:rFonts w:ascii="Garamond" w:hAnsi="Garamond"/>
          <w:b/>
          <w:sz w:val="24"/>
          <w:szCs w:val="24"/>
        </w:rPr>
        <w:t>Wittgenstein’s contextualism</w:t>
      </w:r>
    </w:p>
    <w:p w14:paraId="2CA05A9F" w14:textId="77777777" w:rsidR="00EC2081" w:rsidRPr="00FC4B3D" w:rsidRDefault="00EC2081" w:rsidP="00591AAB">
      <w:pPr>
        <w:spacing w:after="0" w:line="360" w:lineRule="auto"/>
        <w:jc w:val="both"/>
        <w:rPr>
          <w:rFonts w:ascii="Garamond" w:hAnsi="Garamond" w:cs="Times New Roman"/>
          <w:sz w:val="24"/>
          <w:szCs w:val="24"/>
        </w:rPr>
      </w:pPr>
      <w:r w:rsidRPr="00FC4B3D">
        <w:rPr>
          <w:rFonts w:ascii="Garamond" w:hAnsi="Garamond" w:cs="Times New Roman"/>
          <w:sz w:val="24"/>
          <w:szCs w:val="24"/>
        </w:rPr>
        <w:t xml:space="preserve">In </w:t>
      </w:r>
      <w:proofErr w:type="spellStart"/>
      <w:r w:rsidR="00C7459B" w:rsidRPr="00FC4B3D">
        <w:rPr>
          <w:rFonts w:ascii="Garamond" w:hAnsi="Garamond" w:cs="Times New Roman"/>
          <w:sz w:val="24"/>
          <w:szCs w:val="24"/>
        </w:rPr>
        <w:t>Coliva</w:t>
      </w:r>
      <w:proofErr w:type="spellEnd"/>
      <w:r w:rsidR="00C7459B" w:rsidRPr="00FC4B3D">
        <w:rPr>
          <w:rFonts w:ascii="Garamond" w:hAnsi="Garamond" w:cs="Times New Roman"/>
          <w:sz w:val="24"/>
          <w:szCs w:val="24"/>
        </w:rPr>
        <w:t xml:space="preserve"> (2010)</w:t>
      </w:r>
      <w:r w:rsidRPr="00FC4B3D">
        <w:rPr>
          <w:rFonts w:ascii="Garamond" w:hAnsi="Garamond" w:cs="Times New Roman"/>
          <w:sz w:val="24"/>
          <w:szCs w:val="24"/>
        </w:rPr>
        <w:t xml:space="preserve"> I have proposed an interpretation of Wittgenstein’s criticism of Moore’s use of “I know” in relation to his truisms and the premises of his proof, as well as a defense of Wittgenstein’s position against John Searle’s (1969) allegation that his remarks were based on an “</w:t>
      </w:r>
      <w:r w:rsidR="00C7459B" w:rsidRPr="00FC4B3D">
        <w:rPr>
          <w:rFonts w:ascii="Garamond" w:hAnsi="Garamond" w:cs="Times New Roman"/>
          <w:sz w:val="24"/>
          <w:szCs w:val="24"/>
        </w:rPr>
        <w:t>assertion fallacy”, which rely</w:t>
      </w:r>
      <w:r w:rsidRPr="00FC4B3D">
        <w:rPr>
          <w:rFonts w:ascii="Garamond" w:hAnsi="Garamond" w:cs="Times New Roman"/>
          <w:sz w:val="24"/>
          <w:szCs w:val="24"/>
        </w:rPr>
        <w:t xml:space="preserve"> on the decisive role of use in the determination of meaning. </w:t>
      </w:r>
    </w:p>
    <w:p w14:paraId="1EC15856" w14:textId="77777777" w:rsidR="00EC2081" w:rsidRPr="00FC4B3D" w:rsidRDefault="00EC2081" w:rsidP="00CF026C">
      <w:pPr>
        <w:spacing w:after="0" w:line="360" w:lineRule="auto"/>
        <w:ind w:firstLine="360"/>
        <w:jc w:val="both"/>
        <w:rPr>
          <w:rFonts w:ascii="Garamond" w:hAnsi="Garamond" w:cs="Times New Roman"/>
          <w:sz w:val="24"/>
          <w:szCs w:val="24"/>
        </w:rPr>
      </w:pPr>
      <w:r w:rsidRPr="00FC4B3D">
        <w:rPr>
          <w:rFonts w:ascii="Garamond" w:hAnsi="Garamond" w:cs="Times New Roman"/>
          <w:sz w:val="24"/>
          <w:szCs w:val="24"/>
        </w:rPr>
        <w:lastRenderedPageBreak/>
        <w:t xml:space="preserve">Contrary to Moore and Searle, Wittgenstein did not think that different occurrences of “I know” would always have the same meaning or, indeed, that they would always have a meaning. That is, the same words, by occurring in different contexts of use would change their meaning for him, up to the point of losing it altogether, in some deranged circumstances. By contrast, for Moore and Searle they would always retain the same meaning and could at most be used to make assertions that, depending on the case at hand, would be felicitous or infelicitous. Wittgenstein was therefore a contextualist of sorts. </w:t>
      </w:r>
      <w:r w:rsidR="00CF026C" w:rsidRPr="00FC4B3D">
        <w:rPr>
          <w:rFonts w:ascii="Garamond" w:hAnsi="Garamond" w:cs="Times New Roman"/>
          <w:sz w:val="24"/>
          <w:szCs w:val="24"/>
        </w:rPr>
        <w:t>Yet, his form of contextualism was utterly different from contemporary variants of it. Indeed, as we will see, by contemporary lights, his po</w:t>
      </w:r>
      <w:r w:rsidR="008E737E" w:rsidRPr="00FC4B3D">
        <w:rPr>
          <w:rFonts w:ascii="Garamond" w:hAnsi="Garamond" w:cs="Times New Roman"/>
          <w:sz w:val="24"/>
          <w:szCs w:val="24"/>
        </w:rPr>
        <w:t>si</w:t>
      </w:r>
      <w:r w:rsidR="00CF026C" w:rsidRPr="00FC4B3D">
        <w:rPr>
          <w:rFonts w:ascii="Garamond" w:hAnsi="Garamond" w:cs="Times New Roman"/>
          <w:sz w:val="24"/>
          <w:szCs w:val="24"/>
        </w:rPr>
        <w:t xml:space="preserve">tion would </w:t>
      </w:r>
      <w:r w:rsidR="008E737E" w:rsidRPr="00FC4B3D">
        <w:rPr>
          <w:rFonts w:ascii="Garamond" w:hAnsi="Garamond" w:cs="Times New Roman"/>
          <w:sz w:val="24"/>
          <w:szCs w:val="24"/>
        </w:rPr>
        <w:t xml:space="preserve">come close to </w:t>
      </w:r>
      <w:proofErr w:type="spellStart"/>
      <w:r w:rsidR="008E737E" w:rsidRPr="00FC4B3D">
        <w:rPr>
          <w:rFonts w:ascii="Garamond" w:hAnsi="Garamond" w:cs="Times New Roman"/>
          <w:sz w:val="24"/>
          <w:szCs w:val="24"/>
        </w:rPr>
        <w:t>invariantism</w:t>
      </w:r>
      <w:proofErr w:type="spellEnd"/>
      <w:r w:rsidR="00CF026C" w:rsidRPr="00FC4B3D">
        <w:rPr>
          <w:rFonts w:ascii="Garamond" w:hAnsi="Garamond" w:cs="Times New Roman"/>
          <w:sz w:val="24"/>
          <w:szCs w:val="24"/>
        </w:rPr>
        <w:t xml:space="preserve">. </w:t>
      </w:r>
      <w:r w:rsidR="001A3100" w:rsidRPr="00FC4B3D">
        <w:rPr>
          <w:rFonts w:ascii="Garamond" w:hAnsi="Garamond" w:cs="Times New Roman"/>
          <w:sz w:val="24"/>
          <w:szCs w:val="24"/>
        </w:rPr>
        <w:t>Still</w:t>
      </w:r>
      <w:r w:rsidR="008E737E" w:rsidRPr="00FC4B3D">
        <w:rPr>
          <w:rFonts w:ascii="Garamond" w:hAnsi="Garamond" w:cs="Times New Roman"/>
          <w:sz w:val="24"/>
          <w:szCs w:val="24"/>
        </w:rPr>
        <w:t>, before venturing into that issue, let</w:t>
      </w:r>
      <w:r w:rsidR="00CF026C" w:rsidRPr="00FC4B3D">
        <w:rPr>
          <w:rFonts w:ascii="Garamond" w:hAnsi="Garamond" w:cs="Times New Roman"/>
          <w:sz w:val="24"/>
          <w:szCs w:val="24"/>
        </w:rPr>
        <w:t xml:space="preserve"> </w:t>
      </w:r>
      <w:r w:rsidRPr="00FC4B3D">
        <w:rPr>
          <w:rFonts w:ascii="Garamond" w:hAnsi="Garamond" w:cs="Times New Roman"/>
          <w:sz w:val="24"/>
          <w:szCs w:val="24"/>
        </w:rPr>
        <w:t>us see in more depth what his contextualism amounted to.</w:t>
      </w:r>
    </w:p>
    <w:p w14:paraId="7A669529" w14:textId="77777777" w:rsidR="00EC2081" w:rsidRPr="00FC4B3D" w:rsidRDefault="00EC2081" w:rsidP="00591AAB">
      <w:pPr>
        <w:spacing w:after="0" w:line="360" w:lineRule="auto"/>
        <w:jc w:val="both"/>
        <w:rPr>
          <w:rFonts w:ascii="Garamond" w:hAnsi="Garamond" w:cs="Times New Roman"/>
          <w:sz w:val="24"/>
          <w:szCs w:val="24"/>
        </w:rPr>
      </w:pPr>
    </w:p>
    <w:p w14:paraId="4C752F65" w14:textId="77777777" w:rsidR="00EC2081" w:rsidRPr="00FC4B3D" w:rsidRDefault="00EC2081" w:rsidP="00591AAB">
      <w:pPr>
        <w:pStyle w:val="ListParagraph"/>
        <w:numPr>
          <w:ilvl w:val="1"/>
          <w:numId w:val="1"/>
        </w:numPr>
        <w:spacing w:after="0" w:line="360" w:lineRule="auto"/>
        <w:jc w:val="both"/>
        <w:rPr>
          <w:rFonts w:ascii="Garamond" w:hAnsi="Garamond" w:cs="Times New Roman"/>
          <w:b/>
          <w:sz w:val="24"/>
          <w:szCs w:val="24"/>
        </w:rPr>
      </w:pPr>
      <w:r w:rsidRPr="00FC4B3D">
        <w:rPr>
          <w:rFonts w:ascii="Garamond" w:hAnsi="Garamond" w:cs="Times New Roman"/>
          <w:b/>
          <w:sz w:val="24"/>
          <w:szCs w:val="24"/>
        </w:rPr>
        <w:t xml:space="preserve">The </w:t>
      </w:r>
      <w:r w:rsidR="00CF026C" w:rsidRPr="00FC4B3D">
        <w:rPr>
          <w:rFonts w:ascii="Garamond" w:hAnsi="Garamond" w:cs="Times New Roman"/>
          <w:b/>
          <w:sz w:val="24"/>
          <w:szCs w:val="24"/>
        </w:rPr>
        <w:t>ordinary</w:t>
      </w:r>
      <w:r w:rsidRPr="00FC4B3D">
        <w:rPr>
          <w:rFonts w:ascii="Garamond" w:hAnsi="Garamond" w:cs="Times New Roman"/>
          <w:b/>
          <w:sz w:val="24"/>
          <w:szCs w:val="24"/>
        </w:rPr>
        <w:t xml:space="preserve"> use of “I know”</w:t>
      </w:r>
    </w:p>
    <w:p w14:paraId="46A805F1" w14:textId="77777777" w:rsidR="00EC2081" w:rsidRPr="00FC4B3D" w:rsidRDefault="00EC2081" w:rsidP="00591AAB">
      <w:pPr>
        <w:spacing w:after="0" w:line="360" w:lineRule="auto"/>
        <w:jc w:val="both"/>
        <w:rPr>
          <w:rFonts w:ascii="Garamond" w:hAnsi="Garamond" w:cs="Times New Roman"/>
          <w:sz w:val="24"/>
          <w:szCs w:val="24"/>
        </w:rPr>
      </w:pPr>
      <w:r w:rsidRPr="00FC4B3D">
        <w:rPr>
          <w:rFonts w:ascii="Garamond" w:hAnsi="Garamond" w:cs="Times New Roman"/>
          <w:sz w:val="24"/>
          <w:szCs w:val="24"/>
        </w:rPr>
        <w:t xml:space="preserve">As is well known, Wittgenstein accorded pride of place to ordinary language. By observing how we normally use “I know”, </w:t>
      </w:r>
      <w:r w:rsidR="001841DD" w:rsidRPr="00FC4B3D">
        <w:rPr>
          <w:rFonts w:ascii="Garamond" w:hAnsi="Garamond" w:cs="Times New Roman"/>
          <w:sz w:val="24"/>
          <w:szCs w:val="24"/>
        </w:rPr>
        <w:t>he</w:t>
      </w:r>
      <w:r w:rsidRPr="00FC4B3D">
        <w:rPr>
          <w:rFonts w:ascii="Garamond" w:hAnsi="Garamond" w:cs="Times New Roman"/>
          <w:sz w:val="24"/>
          <w:szCs w:val="24"/>
        </w:rPr>
        <w:t xml:space="preserve"> identified several criteria that are operative in the ordinary </w:t>
      </w:r>
      <w:r w:rsidR="00C7459B" w:rsidRPr="00FC4B3D">
        <w:rPr>
          <w:rFonts w:ascii="Garamond" w:hAnsi="Garamond" w:cs="Times New Roman"/>
          <w:sz w:val="24"/>
          <w:szCs w:val="24"/>
        </w:rPr>
        <w:t>(</w:t>
      </w:r>
      <w:r w:rsidRPr="00FC4B3D">
        <w:rPr>
          <w:rFonts w:ascii="Garamond" w:hAnsi="Garamond" w:cs="Times New Roman"/>
          <w:sz w:val="24"/>
          <w:szCs w:val="24"/>
        </w:rPr>
        <w:t>or empirical</w:t>
      </w:r>
      <w:r w:rsidR="00C7459B" w:rsidRPr="00FC4B3D">
        <w:rPr>
          <w:rFonts w:ascii="Garamond" w:hAnsi="Garamond" w:cs="Times New Roman"/>
          <w:sz w:val="24"/>
          <w:szCs w:val="24"/>
        </w:rPr>
        <w:t>)</w:t>
      </w:r>
      <w:r w:rsidRPr="00FC4B3D">
        <w:rPr>
          <w:rFonts w:ascii="Garamond" w:hAnsi="Garamond" w:cs="Times New Roman"/>
          <w:sz w:val="24"/>
          <w:szCs w:val="24"/>
        </w:rPr>
        <w:t xml:space="preserve"> use of “I know”, henceforth “I Know” with a capital ‘K’. According to him, only by conforming to these criteria would knowledge claims make sense, in the literal sense of having a meaning. Here they are:</w:t>
      </w:r>
    </w:p>
    <w:p w14:paraId="36F8B6A2" w14:textId="77777777" w:rsidR="00EC2081" w:rsidRPr="00FC4B3D" w:rsidRDefault="00EC2081" w:rsidP="00591AAB">
      <w:pPr>
        <w:spacing w:after="0" w:line="360" w:lineRule="auto"/>
        <w:jc w:val="both"/>
        <w:rPr>
          <w:rFonts w:ascii="Garamond" w:hAnsi="Garamond" w:cs="Times New Roman"/>
          <w:sz w:val="24"/>
          <w:szCs w:val="24"/>
        </w:rPr>
      </w:pPr>
    </w:p>
    <w:p w14:paraId="7E8334A6" w14:textId="77777777" w:rsidR="00EC2081" w:rsidRPr="00FC4B3D" w:rsidRDefault="00EC2081" w:rsidP="00591AAB">
      <w:pPr>
        <w:pStyle w:val="ListParagraph"/>
        <w:numPr>
          <w:ilvl w:val="0"/>
          <w:numId w:val="3"/>
        </w:numPr>
        <w:spacing w:after="0" w:line="360" w:lineRule="auto"/>
        <w:jc w:val="both"/>
        <w:rPr>
          <w:rFonts w:ascii="Garamond" w:hAnsi="Garamond"/>
          <w:sz w:val="24"/>
          <w:szCs w:val="24"/>
        </w:rPr>
      </w:pPr>
      <w:r w:rsidRPr="00FC4B3D">
        <w:rPr>
          <w:rFonts w:ascii="Garamond" w:hAnsi="Garamond" w:cs="Times New Roman"/>
          <w:sz w:val="24"/>
          <w:szCs w:val="24"/>
        </w:rPr>
        <w:t xml:space="preserve">knowledge claims make sense only when they </w:t>
      </w:r>
      <w:r w:rsidRPr="00FC4B3D">
        <w:rPr>
          <w:rFonts w:ascii="Garamond" w:hAnsi="Garamond"/>
          <w:sz w:val="24"/>
          <w:szCs w:val="24"/>
        </w:rPr>
        <w:t xml:space="preserve">are based on reasons, </w:t>
      </w:r>
    </w:p>
    <w:p w14:paraId="0A87AF4E" w14:textId="26CBED01" w:rsidR="00EC2081" w:rsidRPr="00FC4B3D" w:rsidRDefault="00EC2081" w:rsidP="00591AAB">
      <w:pPr>
        <w:pStyle w:val="ListParagraph"/>
        <w:numPr>
          <w:ilvl w:val="0"/>
          <w:numId w:val="3"/>
        </w:numPr>
        <w:spacing w:after="0" w:line="360" w:lineRule="auto"/>
        <w:jc w:val="both"/>
        <w:rPr>
          <w:rFonts w:ascii="Garamond" w:hAnsi="Garamond"/>
          <w:sz w:val="24"/>
          <w:szCs w:val="24"/>
        </w:rPr>
      </w:pPr>
      <w:r w:rsidRPr="00FC4B3D">
        <w:rPr>
          <w:rFonts w:ascii="Garamond" w:hAnsi="Garamond"/>
          <w:sz w:val="24"/>
          <w:szCs w:val="24"/>
        </w:rPr>
        <w:t>and, in fact, on reasons that are either non-circular,</w:t>
      </w:r>
      <w:r w:rsidR="009462EC" w:rsidRPr="00FC4B3D">
        <w:rPr>
          <w:rStyle w:val="FootnoteReference"/>
          <w:rFonts w:ascii="Garamond" w:hAnsi="Garamond"/>
          <w:sz w:val="24"/>
          <w:szCs w:val="24"/>
        </w:rPr>
        <w:footnoteReference w:id="2"/>
      </w:r>
      <w:r w:rsidRPr="00FC4B3D">
        <w:rPr>
          <w:rFonts w:ascii="Garamond" w:hAnsi="Garamond"/>
          <w:sz w:val="24"/>
          <w:szCs w:val="24"/>
        </w:rPr>
        <w:t xml:space="preserve"> or at least stronger than what they are supposed to ground;</w:t>
      </w:r>
      <w:r w:rsidRPr="00FC4B3D">
        <w:rPr>
          <w:rFonts w:ascii="Garamond" w:hAnsi="Garamond" w:cs="Times New Roman"/>
          <w:sz w:val="24"/>
          <w:szCs w:val="24"/>
        </w:rPr>
        <w:t xml:space="preserve"> </w:t>
      </w:r>
    </w:p>
    <w:p w14:paraId="125D0580" w14:textId="0A257CFF" w:rsidR="00EC2081" w:rsidRPr="00FC4B3D" w:rsidRDefault="00EC2081" w:rsidP="00591AAB">
      <w:pPr>
        <w:pStyle w:val="ListParagraph"/>
        <w:numPr>
          <w:ilvl w:val="0"/>
          <w:numId w:val="3"/>
        </w:numPr>
        <w:spacing w:after="0" w:line="360" w:lineRule="auto"/>
        <w:jc w:val="both"/>
        <w:rPr>
          <w:rFonts w:ascii="Garamond" w:hAnsi="Garamond"/>
          <w:sz w:val="24"/>
          <w:szCs w:val="24"/>
        </w:rPr>
      </w:pPr>
      <w:r w:rsidRPr="00FC4B3D">
        <w:rPr>
          <w:rFonts w:ascii="Garamond" w:hAnsi="Garamond" w:cs="Times New Roman"/>
          <w:sz w:val="24"/>
          <w:szCs w:val="24"/>
        </w:rPr>
        <w:t xml:space="preserve">they make sense only when </w:t>
      </w:r>
      <w:r w:rsidRPr="00FC4B3D">
        <w:rPr>
          <w:rFonts w:ascii="Garamond" w:hAnsi="Garamond"/>
          <w:sz w:val="24"/>
          <w:szCs w:val="24"/>
        </w:rPr>
        <w:t xml:space="preserve">it is possible to make an inquiry to </w:t>
      </w:r>
      <w:proofErr w:type="spellStart"/>
      <w:r w:rsidR="009462EC" w:rsidRPr="00FC4B3D">
        <w:rPr>
          <w:rFonts w:ascii="Garamond" w:hAnsi="Garamond"/>
          <w:sz w:val="24"/>
          <w:szCs w:val="24"/>
        </w:rPr>
        <w:t>confirm</w:t>
      </w:r>
      <w:r w:rsidRPr="00FC4B3D">
        <w:rPr>
          <w:rFonts w:ascii="Garamond" w:hAnsi="Garamond"/>
          <w:sz w:val="24"/>
          <w:szCs w:val="24"/>
        </w:rPr>
        <w:t>that</w:t>
      </w:r>
      <w:proofErr w:type="spellEnd"/>
      <w:r w:rsidRPr="00FC4B3D">
        <w:rPr>
          <w:rFonts w:ascii="Garamond" w:hAnsi="Garamond"/>
          <w:sz w:val="24"/>
          <w:szCs w:val="24"/>
        </w:rPr>
        <w:t xml:space="preserve"> things are as one claims to know and yet the possibility that things may not be so is open;</w:t>
      </w:r>
    </w:p>
    <w:p w14:paraId="15A8C1E4" w14:textId="77777777" w:rsidR="00EC2081" w:rsidRPr="00FC4B3D" w:rsidRDefault="00EC2081" w:rsidP="00591AAB">
      <w:pPr>
        <w:pStyle w:val="ListParagraph"/>
        <w:numPr>
          <w:ilvl w:val="0"/>
          <w:numId w:val="3"/>
        </w:numPr>
        <w:spacing w:after="0" w:line="360" w:lineRule="auto"/>
        <w:jc w:val="both"/>
        <w:rPr>
          <w:rFonts w:ascii="Garamond" w:hAnsi="Garamond"/>
          <w:sz w:val="24"/>
          <w:szCs w:val="24"/>
        </w:rPr>
      </w:pPr>
      <w:r w:rsidRPr="00FC4B3D">
        <w:rPr>
          <w:rFonts w:ascii="Garamond" w:hAnsi="Garamond"/>
          <w:sz w:val="24"/>
          <w:szCs w:val="24"/>
        </w:rPr>
        <w:t xml:space="preserve">and it is </w:t>
      </w:r>
      <w:r w:rsidR="00CF026C" w:rsidRPr="00FC4B3D">
        <w:rPr>
          <w:rFonts w:ascii="Garamond" w:hAnsi="Garamond"/>
          <w:sz w:val="24"/>
          <w:szCs w:val="24"/>
        </w:rPr>
        <w:t xml:space="preserve">therefore </w:t>
      </w:r>
      <w:r w:rsidRPr="00FC4B3D">
        <w:rPr>
          <w:rFonts w:ascii="Garamond" w:hAnsi="Garamond"/>
          <w:sz w:val="24"/>
          <w:szCs w:val="24"/>
        </w:rPr>
        <w:t xml:space="preserve">possible to </w:t>
      </w:r>
      <w:proofErr w:type="gramStart"/>
      <w:r w:rsidRPr="00FC4B3D">
        <w:rPr>
          <w:rFonts w:ascii="Garamond" w:hAnsi="Garamond"/>
          <w:sz w:val="24"/>
          <w:szCs w:val="24"/>
        </w:rPr>
        <w:t>say</w:t>
      </w:r>
      <w:proofErr w:type="gramEnd"/>
      <w:r w:rsidRPr="00FC4B3D">
        <w:rPr>
          <w:rFonts w:ascii="Garamond" w:hAnsi="Garamond"/>
          <w:sz w:val="24"/>
          <w:szCs w:val="24"/>
        </w:rPr>
        <w:t xml:space="preserve"> “I don’t know”.</w:t>
      </w:r>
      <w:r w:rsidRPr="00FC4B3D">
        <w:rPr>
          <w:rFonts w:ascii="Garamond" w:hAnsi="Garamond" w:cs="Times New Roman"/>
          <w:sz w:val="24"/>
          <w:szCs w:val="24"/>
        </w:rPr>
        <w:t xml:space="preserve"> </w:t>
      </w:r>
      <w:proofErr w:type="gramStart"/>
      <w:r w:rsidRPr="00FC4B3D">
        <w:rPr>
          <w:rFonts w:ascii="Garamond" w:hAnsi="Garamond" w:cs="Times New Roman"/>
          <w:sz w:val="24"/>
          <w:szCs w:val="24"/>
        </w:rPr>
        <w:t>Finally</w:t>
      </w:r>
      <w:proofErr w:type="gramEnd"/>
      <w:r w:rsidRPr="00FC4B3D">
        <w:rPr>
          <w:rFonts w:ascii="Garamond" w:hAnsi="Garamond" w:cs="Times New Roman"/>
          <w:sz w:val="24"/>
          <w:szCs w:val="24"/>
        </w:rPr>
        <w:t xml:space="preserve"> and surprisingly, </w:t>
      </w:r>
    </w:p>
    <w:p w14:paraId="0622F8C3" w14:textId="77777777" w:rsidR="00EC2081" w:rsidRPr="00FC4B3D" w:rsidRDefault="00EC2081" w:rsidP="00591AAB">
      <w:pPr>
        <w:pStyle w:val="ListParagraph"/>
        <w:numPr>
          <w:ilvl w:val="0"/>
          <w:numId w:val="3"/>
        </w:numPr>
        <w:spacing w:after="0" w:line="360" w:lineRule="auto"/>
        <w:jc w:val="both"/>
        <w:rPr>
          <w:rFonts w:ascii="Garamond" w:hAnsi="Garamond"/>
          <w:sz w:val="24"/>
          <w:szCs w:val="24"/>
        </w:rPr>
      </w:pPr>
      <w:r w:rsidRPr="00FC4B3D">
        <w:rPr>
          <w:rFonts w:ascii="Garamond" w:hAnsi="Garamond" w:cs="Times New Roman"/>
          <w:sz w:val="24"/>
          <w:szCs w:val="24"/>
        </w:rPr>
        <w:t>claims to knowledge make sense only when they are</w:t>
      </w:r>
      <w:r w:rsidRPr="00FC4B3D">
        <w:rPr>
          <w:rFonts w:ascii="Garamond" w:hAnsi="Garamond"/>
          <w:sz w:val="24"/>
          <w:szCs w:val="24"/>
        </w:rPr>
        <w:t xml:space="preserve"> relevant within the communicative exchange.</w:t>
      </w:r>
    </w:p>
    <w:p w14:paraId="06ADF569" w14:textId="77777777" w:rsidR="00EC2081" w:rsidRPr="00FC4B3D" w:rsidRDefault="00EC2081" w:rsidP="00591AAB">
      <w:pPr>
        <w:spacing w:after="0" w:line="360" w:lineRule="auto"/>
        <w:jc w:val="both"/>
        <w:rPr>
          <w:rFonts w:ascii="Garamond" w:hAnsi="Garamond"/>
          <w:sz w:val="24"/>
          <w:szCs w:val="24"/>
        </w:rPr>
      </w:pPr>
    </w:p>
    <w:p w14:paraId="5AAC62D5" w14:textId="77777777" w:rsidR="00EC2081" w:rsidRPr="00FC4B3D" w:rsidRDefault="00EC2081" w:rsidP="00591AAB">
      <w:pPr>
        <w:spacing w:after="0" w:line="360" w:lineRule="auto"/>
        <w:jc w:val="both"/>
        <w:rPr>
          <w:rFonts w:ascii="Garamond" w:hAnsi="Garamond"/>
          <w:sz w:val="24"/>
          <w:szCs w:val="24"/>
        </w:rPr>
      </w:pPr>
      <w:r w:rsidRPr="00FC4B3D">
        <w:rPr>
          <w:rFonts w:ascii="Garamond" w:hAnsi="Garamond"/>
          <w:sz w:val="24"/>
          <w:szCs w:val="24"/>
        </w:rPr>
        <w:t>To substantiate my interpretation, consider the following passages, in support of (</w:t>
      </w:r>
      <w:proofErr w:type="spellStart"/>
      <w:r w:rsidRPr="00FC4B3D">
        <w:rPr>
          <w:rFonts w:ascii="Garamond" w:hAnsi="Garamond"/>
          <w:sz w:val="24"/>
          <w:szCs w:val="24"/>
        </w:rPr>
        <w:t>i</w:t>
      </w:r>
      <w:proofErr w:type="spellEnd"/>
      <w:r w:rsidRPr="00FC4B3D">
        <w:rPr>
          <w:rFonts w:ascii="Garamond" w:hAnsi="Garamond"/>
          <w:sz w:val="24"/>
          <w:szCs w:val="24"/>
        </w:rPr>
        <w:t>) and (ii):</w:t>
      </w:r>
      <w:r w:rsidR="008E737E" w:rsidRPr="00FC4B3D">
        <w:rPr>
          <w:rStyle w:val="FootnoteReference"/>
          <w:rFonts w:ascii="Garamond" w:hAnsi="Garamond"/>
          <w:sz w:val="24"/>
          <w:szCs w:val="24"/>
        </w:rPr>
        <w:footnoteReference w:id="3"/>
      </w:r>
    </w:p>
    <w:p w14:paraId="22586D3B" w14:textId="77777777" w:rsidR="00EC2081" w:rsidRPr="00FC4B3D" w:rsidRDefault="00EC2081" w:rsidP="00591AAB">
      <w:pPr>
        <w:spacing w:after="0" w:line="360" w:lineRule="auto"/>
        <w:jc w:val="both"/>
        <w:rPr>
          <w:rFonts w:ascii="Garamond" w:hAnsi="Garamond"/>
          <w:sz w:val="24"/>
          <w:szCs w:val="24"/>
        </w:rPr>
      </w:pPr>
    </w:p>
    <w:p w14:paraId="356340D5" w14:textId="77777777" w:rsidR="00EC2081" w:rsidRPr="00FC4B3D" w:rsidRDefault="00EC2081" w:rsidP="00591AAB">
      <w:pPr>
        <w:spacing w:line="360" w:lineRule="auto"/>
        <w:ind w:left="720"/>
        <w:jc w:val="both"/>
        <w:rPr>
          <w:rFonts w:ascii="Garamond" w:hAnsi="Garamond"/>
          <w:sz w:val="24"/>
          <w:szCs w:val="24"/>
        </w:rPr>
      </w:pPr>
      <w:r w:rsidRPr="00FC4B3D">
        <w:rPr>
          <w:rFonts w:ascii="Garamond" w:hAnsi="Garamond"/>
          <w:sz w:val="24"/>
          <w:szCs w:val="24"/>
        </w:rPr>
        <w:t xml:space="preserve">Someone with bad sight asks me: “do you believe that the thing we can see there is a tree?” I reply “I </w:t>
      </w:r>
      <w:r w:rsidRPr="00FC4B3D">
        <w:rPr>
          <w:rFonts w:ascii="Garamond" w:hAnsi="Garamond"/>
          <w:i/>
          <w:iCs/>
          <w:sz w:val="24"/>
          <w:szCs w:val="24"/>
        </w:rPr>
        <w:t>know</w:t>
      </w:r>
      <w:r w:rsidRPr="00FC4B3D">
        <w:rPr>
          <w:rFonts w:ascii="Garamond" w:hAnsi="Garamond"/>
          <w:sz w:val="24"/>
          <w:szCs w:val="24"/>
        </w:rPr>
        <w:t xml:space="preserve"> it is; I can see it clearly and am familiar with it”.—A: “Is N. N. at home?”—I: “I believe he is.”—A: “Was he at home yesterday?”—I: “Yesterday he was—I know he was; I spoke to him.”—A: “Do you know or only believe that this part of the house was built on later than the rest?” —I: “I </w:t>
      </w:r>
      <w:r w:rsidRPr="00FC4B3D">
        <w:rPr>
          <w:rFonts w:ascii="Garamond" w:hAnsi="Garamond"/>
          <w:i/>
          <w:iCs/>
          <w:sz w:val="24"/>
          <w:szCs w:val="24"/>
        </w:rPr>
        <w:t>know</w:t>
      </w:r>
      <w:r w:rsidRPr="00FC4B3D">
        <w:rPr>
          <w:rFonts w:ascii="Garamond" w:hAnsi="Garamond"/>
          <w:sz w:val="24"/>
          <w:szCs w:val="24"/>
        </w:rPr>
        <w:t xml:space="preserve"> it is; I got it from so and so”. (OC 483) </w:t>
      </w:r>
    </w:p>
    <w:p w14:paraId="3BBB0166" w14:textId="5B38FE94" w:rsidR="00EC2081" w:rsidRPr="00FC4B3D" w:rsidRDefault="00EC2081" w:rsidP="00591AAB">
      <w:pPr>
        <w:spacing w:line="360" w:lineRule="auto"/>
        <w:ind w:left="720"/>
        <w:jc w:val="both"/>
        <w:rPr>
          <w:rFonts w:ascii="Garamond" w:hAnsi="Garamond"/>
          <w:sz w:val="24"/>
          <w:szCs w:val="24"/>
        </w:rPr>
      </w:pPr>
      <w:r w:rsidRPr="00FC4B3D">
        <w:rPr>
          <w:rFonts w:ascii="Garamond" w:hAnsi="Garamond"/>
          <w:sz w:val="24"/>
          <w:szCs w:val="24"/>
        </w:rPr>
        <w:t xml:space="preserve">In these cases, then, one </w:t>
      </w:r>
      <w:proofErr w:type="gramStart"/>
      <w:r w:rsidRPr="00FC4B3D">
        <w:rPr>
          <w:rFonts w:ascii="Garamond" w:hAnsi="Garamond"/>
          <w:sz w:val="24"/>
          <w:szCs w:val="24"/>
        </w:rPr>
        <w:t>says</w:t>
      </w:r>
      <w:proofErr w:type="gramEnd"/>
      <w:r w:rsidRPr="00FC4B3D">
        <w:rPr>
          <w:rFonts w:ascii="Garamond" w:hAnsi="Garamond"/>
          <w:sz w:val="24"/>
          <w:szCs w:val="24"/>
        </w:rPr>
        <w:t xml:space="preserve"> “I know” and mentions how one knows [</w:t>
      </w:r>
      <w:r w:rsidRPr="00FC4B3D">
        <w:rPr>
          <w:rFonts w:ascii="Garamond" w:hAnsi="Garamond"/>
          <w:i/>
          <w:iCs/>
          <w:sz w:val="24"/>
          <w:szCs w:val="24"/>
        </w:rPr>
        <w:t>d</w:t>
      </w:r>
      <w:r w:rsidR="009462EC" w:rsidRPr="00FC4B3D">
        <w:rPr>
          <w:rFonts w:ascii="Garamond" w:hAnsi="Garamond"/>
          <w:i/>
          <w:iCs/>
          <w:sz w:val="24"/>
          <w:szCs w:val="24"/>
        </w:rPr>
        <w:t>er</w:t>
      </w:r>
      <w:r w:rsidRPr="00FC4B3D">
        <w:rPr>
          <w:rFonts w:ascii="Garamond" w:hAnsi="Garamond"/>
          <w:i/>
          <w:iCs/>
          <w:sz w:val="24"/>
          <w:szCs w:val="24"/>
        </w:rPr>
        <w:t xml:space="preserve"> </w:t>
      </w:r>
      <w:proofErr w:type="spellStart"/>
      <w:r w:rsidRPr="00FC4B3D">
        <w:rPr>
          <w:rFonts w:ascii="Garamond" w:hAnsi="Garamond"/>
          <w:i/>
          <w:iCs/>
          <w:sz w:val="24"/>
          <w:szCs w:val="24"/>
        </w:rPr>
        <w:t>Grund</w:t>
      </w:r>
      <w:proofErr w:type="spellEnd"/>
      <w:r w:rsidRPr="00FC4B3D">
        <w:rPr>
          <w:rFonts w:ascii="Garamond" w:hAnsi="Garamond"/>
          <w:sz w:val="24"/>
          <w:szCs w:val="24"/>
        </w:rPr>
        <w:t xml:space="preserve">], or at least one can do so. (OC 484) </w:t>
      </w:r>
    </w:p>
    <w:p w14:paraId="10316D9D" w14:textId="77777777" w:rsidR="00EC2081" w:rsidRPr="00FC4B3D" w:rsidRDefault="00EC2081" w:rsidP="00CF026C">
      <w:pPr>
        <w:spacing w:line="360" w:lineRule="auto"/>
        <w:ind w:left="720"/>
        <w:jc w:val="both"/>
        <w:rPr>
          <w:rFonts w:ascii="Garamond" w:hAnsi="Garamond"/>
          <w:sz w:val="24"/>
          <w:szCs w:val="24"/>
        </w:rPr>
      </w:pPr>
      <w:r w:rsidRPr="00FC4B3D">
        <w:rPr>
          <w:rFonts w:ascii="Garamond" w:hAnsi="Garamond"/>
          <w:sz w:val="24"/>
          <w:szCs w:val="24"/>
        </w:rPr>
        <w:t>One says “I know” when one is ready to give compelling grounds. (…) But if what he believes is of such a kind that the grounds that he can give are no surer than his assertion, then he cannot say that he knows what he believes. (OC 243)</w:t>
      </w:r>
    </w:p>
    <w:p w14:paraId="5346E56B" w14:textId="77777777" w:rsidR="00EC2081" w:rsidRPr="00FC4B3D" w:rsidRDefault="00EC2081" w:rsidP="00591AAB">
      <w:pPr>
        <w:spacing w:line="360" w:lineRule="auto"/>
        <w:ind w:left="720"/>
        <w:jc w:val="both"/>
        <w:rPr>
          <w:rFonts w:ascii="Garamond" w:hAnsi="Garamond"/>
          <w:sz w:val="24"/>
          <w:szCs w:val="24"/>
        </w:rPr>
      </w:pPr>
      <w:r w:rsidRPr="00FC4B3D">
        <w:rPr>
          <w:rFonts w:ascii="Garamond" w:hAnsi="Garamond"/>
          <w:sz w:val="24"/>
          <w:szCs w:val="24"/>
        </w:rPr>
        <w:t xml:space="preserve">(…) If I </w:t>
      </w:r>
      <w:proofErr w:type="gramStart"/>
      <w:r w:rsidRPr="00FC4B3D">
        <w:rPr>
          <w:rFonts w:ascii="Garamond" w:hAnsi="Garamond"/>
          <w:sz w:val="24"/>
          <w:szCs w:val="24"/>
        </w:rPr>
        <w:t>say</w:t>
      </w:r>
      <w:proofErr w:type="gramEnd"/>
      <w:r w:rsidRPr="00FC4B3D">
        <w:rPr>
          <w:rFonts w:ascii="Garamond" w:hAnsi="Garamond"/>
          <w:sz w:val="24"/>
          <w:szCs w:val="24"/>
        </w:rPr>
        <w:t xml:space="preserve"> “I know that I have two hands” (…) I must be able to satisfy myself that I am right. But I can’t do that, for my having two hands is not less certain before I have looked at them than afterwards (…). (OC 245).</w:t>
      </w:r>
    </w:p>
    <w:p w14:paraId="61DC1B5A" w14:textId="77777777" w:rsidR="00EC2081" w:rsidRPr="00FC4B3D" w:rsidRDefault="00EC2081" w:rsidP="00591AAB">
      <w:pPr>
        <w:spacing w:after="0" w:line="360" w:lineRule="auto"/>
        <w:jc w:val="both"/>
        <w:rPr>
          <w:rFonts w:ascii="Garamond" w:hAnsi="Garamond"/>
          <w:sz w:val="24"/>
          <w:szCs w:val="24"/>
        </w:rPr>
      </w:pPr>
      <w:r w:rsidRPr="00FC4B3D">
        <w:rPr>
          <w:rFonts w:ascii="Garamond" w:hAnsi="Garamond"/>
          <w:sz w:val="24"/>
          <w:szCs w:val="24"/>
        </w:rPr>
        <w:t>Here are some other passages that support (iii):</w:t>
      </w:r>
    </w:p>
    <w:p w14:paraId="54123199" w14:textId="77777777" w:rsidR="00EC2081" w:rsidRPr="00FC4B3D" w:rsidRDefault="00EC2081" w:rsidP="00591AAB">
      <w:pPr>
        <w:spacing w:after="0" w:line="360" w:lineRule="auto"/>
        <w:jc w:val="both"/>
        <w:rPr>
          <w:rFonts w:ascii="Garamond" w:hAnsi="Garamond"/>
          <w:sz w:val="24"/>
          <w:szCs w:val="24"/>
        </w:rPr>
      </w:pPr>
    </w:p>
    <w:p w14:paraId="5905959E" w14:textId="77777777" w:rsidR="00EC2081" w:rsidRPr="00FC4B3D" w:rsidRDefault="00EC2081" w:rsidP="00591AAB">
      <w:pPr>
        <w:spacing w:line="360" w:lineRule="auto"/>
        <w:ind w:left="720"/>
        <w:jc w:val="both"/>
        <w:rPr>
          <w:rFonts w:ascii="Garamond" w:hAnsi="Garamond"/>
          <w:sz w:val="24"/>
          <w:szCs w:val="24"/>
        </w:rPr>
      </w:pPr>
      <w:r w:rsidRPr="00FC4B3D">
        <w:rPr>
          <w:rFonts w:ascii="Garamond" w:hAnsi="Garamond"/>
          <w:sz w:val="24"/>
          <w:szCs w:val="24"/>
        </w:rPr>
        <w:t>Only in certain cases it is possible to make an investigation “is that really a hand?” (or “my hand”). For “I doubt whether that is really my (or a) hand” makes no sense without some more precise determination. One cannot tell from these words alone whether any doubt at all is meant—nor what kind of doubt. (OC 372)</w:t>
      </w:r>
    </w:p>
    <w:p w14:paraId="4649C2D6" w14:textId="77777777" w:rsidR="00EC2081" w:rsidRPr="00FC4B3D" w:rsidRDefault="00EC2081" w:rsidP="00591AAB">
      <w:pPr>
        <w:spacing w:line="360" w:lineRule="auto"/>
        <w:ind w:left="720"/>
        <w:jc w:val="both"/>
        <w:rPr>
          <w:rFonts w:ascii="Garamond" w:hAnsi="Garamond"/>
          <w:sz w:val="24"/>
          <w:szCs w:val="24"/>
        </w:rPr>
      </w:pPr>
      <w:r w:rsidRPr="00FC4B3D">
        <w:rPr>
          <w:rFonts w:ascii="Garamond" w:hAnsi="Garamond"/>
          <w:sz w:val="24"/>
          <w:szCs w:val="24"/>
        </w:rPr>
        <w:t xml:space="preserve">If I don’t know whether someone has two hands (say, whether they have been amputated or not) I shall believe his assurance that he has two hands, if he is trustworthy. And if he says he </w:t>
      </w:r>
      <w:r w:rsidRPr="00FC4B3D">
        <w:rPr>
          <w:rFonts w:ascii="Garamond" w:hAnsi="Garamond"/>
          <w:i/>
          <w:iCs/>
          <w:sz w:val="24"/>
          <w:szCs w:val="24"/>
        </w:rPr>
        <w:t>knows</w:t>
      </w:r>
      <w:r w:rsidRPr="00FC4B3D">
        <w:rPr>
          <w:rFonts w:ascii="Garamond" w:hAnsi="Garamond"/>
          <w:sz w:val="24"/>
          <w:szCs w:val="24"/>
        </w:rPr>
        <w:t xml:space="preserve"> it, that can only signify to me that he has been able to make sure, and hence that his arms are e.g. not still concealed by coverings and bandages, etc. etc. My believing the trustworthy man stems from my admitting that it is possible for him to make sure (…). (OC 23)</w:t>
      </w:r>
    </w:p>
    <w:p w14:paraId="16C46FED" w14:textId="77777777" w:rsidR="00EC2081" w:rsidRPr="00FC4B3D" w:rsidRDefault="00EC2081" w:rsidP="00591AAB">
      <w:pPr>
        <w:spacing w:after="0" w:line="360" w:lineRule="auto"/>
        <w:jc w:val="both"/>
        <w:rPr>
          <w:rFonts w:ascii="Garamond" w:hAnsi="Garamond"/>
          <w:sz w:val="24"/>
          <w:szCs w:val="24"/>
        </w:rPr>
      </w:pPr>
      <w:r w:rsidRPr="00FC4B3D">
        <w:rPr>
          <w:rFonts w:ascii="Garamond" w:hAnsi="Garamond"/>
          <w:sz w:val="24"/>
          <w:szCs w:val="24"/>
        </w:rPr>
        <w:t>Some well-known passages in OC speak in favor of (iv):</w:t>
      </w:r>
    </w:p>
    <w:p w14:paraId="090684F5" w14:textId="77777777" w:rsidR="00EC2081" w:rsidRPr="00FC4B3D" w:rsidRDefault="00EC2081" w:rsidP="00591AAB">
      <w:pPr>
        <w:spacing w:after="0" w:line="360" w:lineRule="auto"/>
        <w:jc w:val="both"/>
        <w:rPr>
          <w:rFonts w:ascii="Garamond" w:hAnsi="Garamond"/>
          <w:sz w:val="24"/>
          <w:szCs w:val="24"/>
        </w:rPr>
      </w:pPr>
    </w:p>
    <w:p w14:paraId="5A2764C6" w14:textId="77777777" w:rsidR="00EC2081" w:rsidRPr="00FC4B3D" w:rsidRDefault="00EC2081" w:rsidP="00591AAB">
      <w:pPr>
        <w:spacing w:line="360" w:lineRule="auto"/>
        <w:ind w:left="720"/>
        <w:jc w:val="both"/>
        <w:rPr>
          <w:rFonts w:ascii="Garamond" w:hAnsi="Garamond"/>
          <w:sz w:val="24"/>
          <w:szCs w:val="24"/>
        </w:rPr>
      </w:pPr>
      <w:r w:rsidRPr="00FC4B3D">
        <w:rPr>
          <w:rFonts w:ascii="Garamond" w:hAnsi="Garamond"/>
          <w:sz w:val="24"/>
          <w:szCs w:val="24"/>
        </w:rPr>
        <w:t xml:space="preserve">“I know that I am a human being.” In order to see how </w:t>
      </w:r>
      <w:proofErr w:type="gramStart"/>
      <w:r w:rsidRPr="00FC4B3D">
        <w:rPr>
          <w:rFonts w:ascii="Garamond" w:hAnsi="Garamond"/>
          <w:sz w:val="24"/>
          <w:szCs w:val="24"/>
        </w:rPr>
        <w:t>unclear</w:t>
      </w:r>
      <w:proofErr w:type="gramEnd"/>
      <w:r w:rsidRPr="00FC4B3D">
        <w:rPr>
          <w:rFonts w:ascii="Garamond" w:hAnsi="Garamond"/>
          <w:sz w:val="24"/>
          <w:szCs w:val="24"/>
        </w:rPr>
        <w:t xml:space="preserve"> the sense of this proposition is, consider its negation. At most it might be taken to mean “I know I have the organs of a human”. (E.g. a brain which, after all, no one has ever yet seen.) But what about such a proposition as “I </w:t>
      </w:r>
      <w:r w:rsidRPr="00FC4B3D">
        <w:rPr>
          <w:rFonts w:ascii="Garamond" w:hAnsi="Garamond"/>
          <w:sz w:val="24"/>
          <w:szCs w:val="24"/>
        </w:rPr>
        <w:lastRenderedPageBreak/>
        <w:t xml:space="preserve">know I have a brain”? Can I doubt it? Grounds for </w:t>
      </w:r>
      <w:r w:rsidRPr="00FC4B3D">
        <w:rPr>
          <w:rFonts w:ascii="Garamond" w:hAnsi="Garamond"/>
          <w:i/>
          <w:iCs/>
          <w:sz w:val="24"/>
          <w:szCs w:val="24"/>
        </w:rPr>
        <w:t>doubt</w:t>
      </w:r>
      <w:r w:rsidRPr="00FC4B3D">
        <w:rPr>
          <w:rFonts w:ascii="Garamond" w:hAnsi="Garamond"/>
          <w:sz w:val="24"/>
          <w:szCs w:val="24"/>
        </w:rPr>
        <w:t xml:space="preserve"> are lacking! Everything speaks in its </w:t>
      </w:r>
      <w:proofErr w:type="spellStart"/>
      <w:r w:rsidRPr="00FC4B3D">
        <w:rPr>
          <w:rFonts w:ascii="Garamond" w:hAnsi="Garamond"/>
          <w:sz w:val="24"/>
          <w:szCs w:val="24"/>
        </w:rPr>
        <w:t>favour</w:t>
      </w:r>
      <w:proofErr w:type="spellEnd"/>
      <w:r w:rsidRPr="00FC4B3D">
        <w:rPr>
          <w:rFonts w:ascii="Garamond" w:hAnsi="Garamond"/>
          <w:sz w:val="24"/>
          <w:szCs w:val="24"/>
        </w:rPr>
        <w:t>, nothing against it. (OC 4)</w:t>
      </w:r>
    </w:p>
    <w:p w14:paraId="3451DB7E" w14:textId="77777777" w:rsidR="00EC2081" w:rsidRPr="00FC4B3D" w:rsidRDefault="00EC2081" w:rsidP="00591AAB">
      <w:pPr>
        <w:spacing w:after="0" w:line="360" w:lineRule="auto"/>
        <w:jc w:val="both"/>
        <w:rPr>
          <w:rFonts w:ascii="Garamond" w:hAnsi="Garamond"/>
          <w:sz w:val="24"/>
          <w:szCs w:val="24"/>
        </w:rPr>
      </w:pPr>
      <w:r w:rsidRPr="00FC4B3D">
        <w:rPr>
          <w:rFonts w:ascii="Garamond" w:hAnsi="Garamond"/>
          <w:sz w:val="24"/>
          <w:szCs w:val="24"/>
        </w:rPr>
        <w:t>Finally, the following passages back (v):</w:t>
      </w:r>
    </w:p>
    <w:p w14:paraId="435E4944" w14:textId="77777777" w:rsidR="00EC2081" w:rsidRPr="00FC4B3D" w:rsidRDefault="00EC2081" w:rsidP="00591AAB">
      <w:pPr>
        <w:spacing w:after="0" w:line="360" w:lineRule="auto"/>
        <w:jc w:val="both"/>
        <w:rPr>
          <w:rFonts w:ascii="Garamond" w:hAnsi="Garamond"/>
          <w:sz w:val="24"/>
          <w:szCs w:val="24"/>
        </w:rPr>
      </w:pPr>
    </w:p>
    <w:p w14:paraId="132D7D0A" w14:textId="77777777" w:rsidR="00EC2081" w:rsidRPr="00FC4B3D" w:rsidRDefault="00EC2081" w:rsidP="00591AAB">
      <w:pPr>
        <w:spacing w:line="360" w:lineRule="auto"/>
        <w:ind w:left="720"/>
        <w:jc w:val="both"/>
        <w:rPr>
          <w:rFonts w:ascii="Garamond" w:hAnsi="Garamond"/>
          <w:sz w:val="24"/>
          <w:szCs w:val="24"/>
        </w:rPr>
      </w:pPr>
      <w:r w:rsidRPr="00FC4B3D">
        <w:rPr>
          <w:rFonts w:ascii="Garamond" w:hAnsi="Garamond"/>
          <w:sz w:val="24"/>
          <w:szCs w:val="24"/>
        </w:rPr>
        <w:t xml:space="preserve">My difficulty can also be shewn like this: I am sitting talking to a friend. Suddenly he says: “I knew all along that you were so-and-so.” Is that </w:t>
      </w:r>
      <w:proofErr w:type="gramStart"/>
      <w:r w:rsidRPr="00FC4B3D">
        <w:rPr>
          <w:rFonts w:ascii="Garamond" w:hAnsi="Garamond"/>
          <w:sz w:val="24"/>
          <w:szCs w:val="24"/>
        </w:rPr>
        <w:t>really just</w:t>
      </w:r>
      <w:proofErr w:type="gramEnd"/>
      <w:r w:rsidRPr="00FC4B3D">
        <w:rPr>
          <w:rFonts w:ascii="Garamond" w:hAnsi="Garamond"/>
          <w:sz w:val="24"/>
          <w:szCs w:val="24"/>
        </w:rPr>
        <w:t xml:space="preserve"> a superfluous, though true, remark? I feel as if these words were like “Good morning” said to someone in the middle of a conversation. (OC 464)</w:t>
      </w:r>
    </w:p>
    <w:p w14:paraId="5322991C" w14:textId="77777777" w:rsidR="00F60734" w:rsidRPr="00FC4B3D" w:rsidRDefault="00F60734" w:rsidP="00F60734">
      <w:pPr>
        <w:spacing w:line="360" w:lineRule="auto"/>
        <w:ind w:left="720"/>
        <w:jc w:val="both"/>
        <w:rPr>
          <w:rFonts w:ascii="Garamond" w:hAnsi="Garamond"/>
          <w:sz w:val="24"/>
          <w:szCs w:val="24"/>
        </w:rPr>
      </w:pPr>
      <w:proofErr w:type="gramStart"/>
      <w:r w:rsidRPr="00FC4B3D">
        <w:rPr>
          <w:rFonts w:ascii="Garamond" w:hAnsi="Garamond"/>
          <w:sz w:val="24"/>
          <w:szCs w:val="24"/>
        </w:rPr>
        <w:t>Thus</w:t>
      </w:r>
      <w:proofErr w:type="gramEnd"/>
      <w:r w:rsidRPr="00FC4B3D">
        <w:rPr>
          <w:rFonts w:ascii="Garamond" w:hAnsi="Garamond"/>
          <w:sz w:val="24"/>
          <w:szCs w:val="24"/>
        </w:rPr>
        <w:t xml:space="preserve"> it seems to me that I have known something the whole time, and yet there is no </w:t>
      </w:r>
      <w:r w:rsidRPr="00FC4B3D">
        <w:rPr>
          <w:rFonts w:ascii="Garamond" w:hAnsi="Garamond"/>
          <w:i/>
          <w:iCs/>
          <w:sz w:val="24"/>
          <w:szCs w:val="24"/>
        </w:rPr>
        <w:t>meaning</w:t>
      </w:r>
      <w:r w:rsidRPr="00FC4B3D">
        <w:rPr>
          <w:rFonts w:ascii="Garamond" w:hAnsi="Garamond"/>
          <w:sz w:val="24"/>
          <w:szCs w:val="24"/>
        </w:rPr>
        <w:t xml:space="preserve"> (my emphasis) in saying so, in uttering this truth. (OC 466)</w:t>
      </w:r>
    </w:p>
    <w:p w14:paraId="7158B504" w14:textId="77777777" w:rsidR="00EC2081" w:rsidRPr="00FC4B3D" w:rsidRDefault="00EC2081" w:rsidP="00591AAB">
      <w:pPr>
        <w:spacing w:line="360" w:lineRule="auto"/>
        <w:ind w:left="720"/>
        <w:jc w:val="both"/>
        <w:rPr>
          <w:rFonts w:ascii="Garamond" w:hAnsi="Garamond"/>
          <w:sz w:val="24"/>
          <w:szCs w:val="24"/>
        </w:rPr>
      </w:pPr>
      <w:r w:rsidRPr="00FC4B3D">
        <w:rPr>
          <w:rFonts w:ascii="Garamond" w:hAnsi="Garamond"/>
          <w:sz w:val="24"/>
          <w:szCs w:val="24"/>
        </w:rPr>
        <w:t>(…) Shouldn’t I be at liberty to assume that he doesn’t know what he is saying, if he is insane enough to want to give me this information? (OC 468).</w:t>
      </w:r>
    </w:p>
    <w:p w14:paraId="73253F3B" w14:textId="77777777" w:rsidR="00EC2081" w:rsidRPr="00FC4B3D" w:rsidRDefault="00EC2081" w:rsidP="00591AAB">
      <w:pPr>
        <w:spacing w:line="360" w:lineRule="auto"/>
        <w:ind w:left="720"/>
        <w:jc w:val="both"/>
        <w:rPr>
          <w:rFonts w:ascii="Garamond" w:hAnsi="Garamond"/>
          <w:sz w:val="24"/>
          <w:szCs w:val="24"/>
          <w:lang w:val="it-IT"/>
        </w:rPr>
      </w:pPr>
      <w:r w:rsidRPr="00FC4B3D">
        <w:rPr>
          <w:rFonts w:ascii="Garamond" w:hAnsi="Garamond"/>
          <w:sz w:val="24"/>
          <w:szCs w:val="24"/>
        </w:rPr>
        <w:t xml:space="preserve">(…) I am astonished; but later I realize that these words </w:t>
      </w:r>
      <w:proofErr w:type="gramStart"/>
      <w:r w:rsidRPr="00FC4B3D">
        <w:rPr>
          <w:rFonts w:ascii="Garamond" w:hAnsi="Garamond"/>
          <w:sz w:val="24"/>
          <w:szCs w:val="24"/>
        </w:rPr>
        <w:t>connect up</w:t>
      </w:r>
      <w:proofErr w:type="gramEnd"/>
      <w:r w:rsidRPr="00FC4B3D">
        <w:rPr>
          <w:rFonts w:ascii="Garamond" w:hAnsi="Garamond"/>
          <w:sz w:val="24"/>
          <w:szCs w:val="24"/>
        </w:rPr>
        <w:t xml:space="preserve"> with his thoughts about me. And now they don’t strike me as </w:t>
      </w:r>
      <w:r w:rsidRPr="00FC4B3D">
        <w:rPr>
          <w:rFonts w:ascii="Garamond" w:hAnsi="Garamond"/>
          <w:i/>
          <w:iCs/>
          <w:sz w:val="24"/>
          <w:szCs w:val="24"/>
        </w:rPr>
        <w:t>meaningless</w:t>
      </w:r>
      <w:r w:rsidRPr="00FC4B3D">
        <w:rPr>
          <w:rFonts w:ascii="Garamond" w:hAnsi="Garamond"/>
          <w:sz w:val="24"/>
          <w:szCs w:val="24"/>
        </w:rPr>
        <w:t xml:space="preserve"> (emphasis mine) anymore. </w:t>
      </w:r>
      <w:r w:rsidRPr="00FC4B3D">
        <w:rPr>
          <w:rFonts w:ascii="Garamond" w:hAnsi="Garamond"/>
          <w:sz w:val="24"/>
          <w:szCs w:val="24"/>
          <w:lang w:val="it-IT"/>
        </w:rPr>
        <w:t>(OC 469).</w:t>
      </w:r>
    </w:p>
    <w:p w14:paraId="76F7A01C" w14:textId="77777777" w:rsidR="00EC2081" w:rsidRPr="00FC4B3D" w:rsidRDefault="00EC2081" w:rsidP="00591AAB">
      <w:pPr>
        <w:spacing w:line="360" w:lineRule="auto"/>
        <w:jc w:val="both"/>
        <w:rPr>
          <w:rFonts w:ascii="Garamond" w:hAnsi="Garamond"/>
          <w:sz w:val="24"/>
          <w:szCs w:val="24"/>
          <w:lang w:val="it-IT"/>
        </w:rPr>
      </w:pPr>
    </w:p>
    <w:p w14:paraId="14C63EBF" w14:textId="77777777" w:rsidR="00EC2081" w:rsidRPr="00FC4B3D" w:rsidRDefault="00EC2081" w:rsidP="0092266C">
      <w:pPr>
        <w:pStyle w:val="ListParagraph"/>
        <w:numPr>
          <w:ilvl w:val="1"/>
          <w:numId w:val="1"/>
        </w:numPr>
        <w:spacing w:line="360" w:lineRule="auto"/>
        <w:jc w:val="both"/>
        <w:rPr>
          <w:rFonts w:ascii="Garamond" w:hAnsi="Garamond"/>
          <w:b/>
          <w:sz w:val="24"/>
          <w:szCs w:val="24"/>
        </w:rPr>
      </w:pPr>
      <w:r w:rsidRPr="00FC4B3D">
        <w:rPr>
          <w:rFonts w:ascii="Garamond" w:hAnsi="Garamond"/>
          <w:b/>
          <w:sz w:val="24"/>
          <w:szCs w:val="24"/>
        </w:rPr>
        <w:t>The grammatical use of “I know”</w:t>
      </w:r>
    </w:p>
    <w:p w14:paraId="1461E082" w14:textId="59926146" w:rsidR="00EC2081" w:rsidRPr="00FC4B3D" w:rsidRDefault="00EC2081" w:rsidP="00591AAB">
      <w:pPr>
        <w:spacing w:after="0" w:line="360" w:lineRule="auto"/>
        <w:jc w:val="both"/>
        <w:rPr>
          <w:rFonts w:ascii="Garamond" w:hAnsi="Garamond"/>
          <w:sz w:val="24"/>
          <w:szCs w:val="24"/>
        </w:rPr>
      </w:pPr>
      <w:r w:rsidRPr="00FC4B3D">
        <w:rPr>
          <w:rFonts w:ascii="Garamond" w:hAnsi="Garamond"/>
          <w:sz w:val="24"/>
          <w:szCs w:val="24"/>
        </w:rPr>
        <w:t xml:space="preserve">Wittgenstein, however, recognized also a “grammatical” use of “I know”, henceforth “I </w:t>
      </w:r>
      <w:r w:rsidRPr="00FC4B3D">
        <w:rPr>
          <w:rFonts w:ascii="Garamond" w:hAnsi="Garamond"/>
          <w:i/>
          <w:sz w:val="24"/>
          <w:szCs w:val="24"/>
        </w:rPr>
        <w:t>k</w:t>
      </w:r>
      <w:r w:rsidRPr="00FC4B3D">
        <w:rPr>
          <w:rFonts w:ascii="Garamond" w:hAnsi="Garamond"/>
          <w:sz w:val="24"/>
          <w:szCs w:val="24"/>
        </w:rPr>
        <w:t>now” with an italicized ‘</w:t>
      </w:r>
      <w:r w:rsidRPr="00FC4B3D">
        <w:rPr>
          <w:rFonts w:ascii="Garamond" w:hAnsi="Garamond"/>
          <w:i/>
          <w:sz w:val="24"/>
          <w:szCs w:val="24"/>
        </w:rPr>
        <w:t>k</w:t>
      </w:r>
      <w:r w:rsidRPr="00FC4B3D">
        <w:rPr>
          <w:rFonts w:ascii="Garamond" w:hAnsi="Garamond"/>
          <w:sz w:val="24"/>
          <w:szCs w:val="24"/>
        </w:rPr>
        <w:t xml:space="preserve">’. Contrary to “I Know”, </w:t>
      </w:r>
      <w:r w:rsidR="00C7459B" w:rsidRPr="00FC4B3D">
        <w:rPr>
          <w:rFonts w:ascii="Garamond" w:hAnsi="Garamond"/>
          <w:sz w:val="24"/>
          <w:szCs w:val="24"/>
        </w:rPr>
        <w:t xml:space="preserve">and as surprising as it may seem, for Wittgenstein </w:t>
      </w:r>
      <w:r w:rsidRPr="00FC4B3D">
        <w:rPr>
          <w:rFonts w:ascii="Garamond" w:hAnsi="Garamond"/>
          <w:sz w:val="24"/>
          <w:szCs w:val="24"/>
        </w:rPr>
        <w:t xml:space="preserve">“I </w:t>
      </w:r>
      <w:r w:rsidRPr="00FC4B3D">
        <w:rPr>
          <w:rFonts w:ascii="Garamond" w:hAnsi="Garamond"/>
          <w:i/>
          <w:sz w:val="24"/>
          <w:szCs w:val="24"/>
        </w:rPr>
        <w:t>k</w:t>
      </w:r>
      <w:r w:rsidRPr="00FC4B3D">
        <w:rPr>
          <w:rFonts w:ascii="Garamond" w:hAnsi="Garamond"/>
          <w:sz w:val="24"/>
          <w:szCs w:val="24"/>
        </w:rPr>
        <w:t>now” does not express the obtaining of an epistemic relation between a subject and a proposition, it isn’t based on grounds</w:t>
      </w:r>
      <w:r w:rsidR="00CF026C" w:rsidRPr="00FC4B3D">
        <w:rPr>
          <w:rFonts w:ascii="Garamond" w:hAnsi="Garamond"/>
          <w:sz w:val="24"/>
          <w:szCs w:val="24"/>
        </w:rPr>
        <w:t>,</w:t>
      </w:r>
      <w:r w:rsidRPr="00FC4B3D">
        <w:rPr>
          <w:rFonts w:ascii="Garamond" w:hAnsi="Garamond"/>
          <w:sz w:val="24"/>
          <w:szCs w:val="24"/>
        </w:rPr>
        <w:t xml:space="preserve"> and doesn’t express knowledge but objective certainty.</w:t>
      </w:r>
      <w:r w:rsidR="00E23218" w:rsidRPr="00FC4B3D">
        <w:rPr>
          <w:rStyle w:val="FootnoteReference"/>
          <w:rFonts w:ascii="Garamond" w:hAnsi="Garamond"/>
          <w:sz w:val="24"/>
          <w:szCs w:val="24"/>
        </w:rPr>
        <w:footnoteReference w:id="4"/>
      </w:r>
      <w:r w:rsidRPr="00FC4B3D">
        <w:rPr>
          <w:rFonts w:ascii="Garamond" w:hAnsi="Garamond"/>
          <w:sz w:val="24"/>
          <w:szCs w:val="24"/>
        </w:rPr>
        <w:t xml:space="preserve"> Writes Wittgenstein:</w:t>
      </w:r>
    </w:p>
    <w:p w14:paraId="09EE9AC5" w14:textId="77777777" w:rsidR="00EC2081" w:rsidRPr="00FC4B3D" w:rsidRDefault="00EC2081" w:rsidP="00591AAB">
      <w:pPr>
        <w:spacing w:after="0" w:line="360" w:lineRule="auto"/>
        <w:jc w:val="both"/>
        <w:rPr>
          <w:rFonts w:ascii="Garamond" w:hAnsi="Garamond"/>
          <w:sz w:val="24"/>
          <w:szCs w:val="24"/>
        </w:rPr>
      </w:pPr>
    </w:p>
    <w:p w14:paraId="21B42C3E" w14:textId="77777777" w:rsidR="00EC2081" w:rsidRPr="00FC4B3D" w:rsidRDefault="000C0166" w:rsidP="00591AAB">
      <w:pPr>
        <w:spacing w:line="360" w:lineRule="auto"/>
        <w:ind w:left="720"/>
        <w:jc w:val="both"/>
        <w:rPr>
          <w:rFonts w:ascii="Garamond" w:hAnsi="Garamond"/>
          <w:sz w:val="24"/>
          <w:szCs w:val="24"/>
        </w:rPr>
      </w:pPr>
      <w:r w:rsidRPr="00FC4B3D">
        <w:rPr>
          <w:rFonts w:ascii="Garamond" w:hAnsi="Garamond"/>
          <w:sz w:val="24"/>
          <w:szCs w:val="24"/>
        </w:rPr>
        <w:t xml:space="preserve">If “I know </w:t>
      </w:r>
      <w:proofErr w:type="spellStart"/>
      <w:r w:rsidRPr="00FC4B3D">
        <w:rPr>
          <w:rFonts w:ascii="Garamond" w:hAnsi="Garamond"/>
          <w:sz w:val="24"/>
          <w:szCs w:val="24"/>
        </w:rPr>
        <w:t>etc</w:t>
      </w:r>
      <w:proofErr w:type="spellEnd"/>
      <w:r w:rsidRPr="00FC4B3D">
        <w:rPr>
          <w:rFonts w:ascii="Garamond" w:hAnsi="Garamond"/>
          <w:sz w:val="24"/>
          <w:szCs w:val="24"/>
        </w:rPr>
        <w:t>”</w:t>
      </w:r>
      <w:r w:rsidR="00EC2081" w:rsidRPr="00FC4B3D">
        <w:rPr>
          <w:rFonts w:ascii="Garamond" w:hAnsi="Garamond"/>
          <w:sz w:val="24"/>
          <w:szCs w:val="24"/>
        </w:rPr>
        <w:t xml:space="preserve"> is conceived as a grammati</w:t>
      </w:r>
      <w:r w:rsidRPr="00FC4B3D">
        <w:rPr>
          <w:rFonts w:ascii="Garamond" w:hAnsi="Garamond"/>
          <w:sz w:val="24"/>
          <w:szCs w:val="24"/>
        </w:rPr>
        <w:t>cal proposition, of course the “I”</w:t>
      </w:r>
      <w:r w:rsidR="00EC2081" w:rsidRPr="00FC4B3D">
        <w:rPr>
          <w:rFonts w:ascii="Garamond" w:hAnsi="Garamond"/>
          <w:sz w:val="24"/>
          <w:szCs w:val="24"/>
        </w:rPr>
        <w:t xml:space="preserve"> cannot be im</w:t>
      </w:r>
      <w:r w:rsidRPr="00FC4B3D">
        <w:rPr>
          <w:rFonts w:ascii="Garamond" w:hAnsi="Garamond"/>
          <w:sz w:val="24"/>
          <w:szCs w:val="24"/>
        </w:rPr>
        <w:t>portant. And it properly means “</w:t>
      </w:r>
      <w:r w:rsidR="00EC2081" w:rsidRPr="00FC4B3D">
        <w:rPr>
          <w:rFonts w:ascii="Garamond" w:hAnsi="Garamond"/>
          <w:sz w:val="24"/>
          <w:szCs w:val="24"/>
        </w:rPr>
        <w:t>There is no suc</w:t>
      </w:r>
      <w:r w:rsidRPr="00FC4B3D">
        <w:rPr>
          <w:rFonts w:ascii="Garamond" w:hAnsi="Garamond"/>
          <w:sz w:val="24"/>
          <w:szCs w:val="24"/>
        </w:rPr>
        <w:t>h thing as a doubt in this case” or “</w:t>
      </w:r>
      <w:r w:rsidR="00EC2081" w:rsidRPr="00FC4B3D">
        <w:rPr>
          <w:rFonts w:ascii="Garamond" w:hAnsi="Garamond"/>
          <w:sz w:val="24"/>
          <w:szCs w:val="24"/>
        </w:rPr>
        <w:t>The ex</w:t>
      </w:r>
      <w:r w:rsidRPr="00FC4B3D">
        <w:rPr>
          <w:rFonts w:ascii="Garamond" w:hAnsi="Garamond"/>
          <w:sz w:val="24"/>
          <w:szCs w:val="24"/>
        </w:rPr>
        <w:t>pression ‘I do not know’ makes no sense in this case”</w:t>
      </w:r>
      <w:r w:rsidR="00EC2081" w:rsidRPr="00FC4B3D">
        <w:rPr>
          <w:rFonts w:ascii="Garamond" w:hAnsi="Garamond"/>
          <w:sz w:val="24"/>
          <w:szCs w:val="24"/>
        </w:rPr>
        <w:t xml:space="preserve">. And </w:t>
      </w:r>
      <w:proofErr w:type="gramStart"/>
      <w:r w:rsidR="00EC2081" w:rsidRPr="00FC4B3D">
        <w:rPr>
          <w:rFonts w:ascii="Garamond" w:hAnsi="Garamond"/>
          <w:sz w:val="24"/>
          <w:szCs w:val="24"/>
        </w:rPr>
        <w:t>of co</w:t>
      </w:r>
      <w:r w:rsidRPr="00FC4B3D">
        <w:rPr>
          <w:rFonts w:ascii="Garamond" w:hAnsi="Garamond"/>
          <w:sz w:val="24"/>
          <w:szCs w:val="24"/>
        </w:rPr>
        <w:t>urse</w:t>
      </w:r>
      <w:proofErr w:type="gramEnd"/>
      <w:r w:rsidRPr="00FC4B3D">
        <w:rPr>
          <w:rFonts w:ascii="Garamond" w:hAnsi="Garamond"/>
          <w:sz w:val="24"/>
          <w:szCs w:val="24"/>
        </w:rPr>
        <w:t xml:space="preserve"> it follows from this that “I know”</w:t>
      </w:r>
      <w:r w:rsidR="00EC2081" w:rsidRPr="00FC4B3D">
        <w:rPr>
          <w:rFonts w:ascii="Garamond" w:hAnsi="Garamond"/>
          <w:sz w:val="24"/>
          <w:szCs w:val="24"/>
        </w:rPr>
        <w:t xml:space="preserve"> makes no sense either. (OC58)</w:t>
      </w:r>
    </w:p>
    <w:p w14:paraId="1812149A" w14:textId="77777777" w:rsidR="00EC2081" w:rsidRPr="00FC4B3D" w:rsidRDefault="00EC2081" w:rsidP="00591AAB">
      <w:pPr>
        <w:spacing w:line="360" w:lineRule="auto"/>
        <w:ind w:left="720"/>
        <w:jc w:val="both"/>
        <w:rPr>
          <w:rFonts w:ascii="Garamond" w:hAnsi="Garamond"/>
          <w:sz w:val="24"/>
          <w:szCs w:val="24"/>
        </w:rPr>
      </w:pPr>
      <w:r w:rsidRPr="00FC4B3D">
        <w:rPr>
          <w:rFonts w:ascii="Garamond" w:hAnsi="Garamond"/>
          <w:sz w:val="24"/>
          <w:szCs w:val="24"/>
        </w:rPr>
        <w:lastRenderedPageBreak/>
        <w:t xml:space="preserve">“I know” is here a </w:t>
      </w:r>
      <w:r w:rsidRPr="00FC4B3D">
        <w:rPr>
          <w:rFonts w:ascii="Garamond" w:hAnsi="Garamond"/>
          <w:i/>
          <w:iCs/>
          <w:sz w:val="24"/>
          <w:szCs w:val="24"/>
        </w:rPr>
        <w:t>logical</w:t>
      </w:r>
      <w:r w:rsidRPr="00FC4B3D">
        <w:rPr>
          <w:rFonts w:ascii="Garamond" w:hAnsi="Garamond"/>
          <w:sz w:val="24"/>
          <w:szCs w:val="24"/>
        </w:rPr>
        <w:t xml:space="preserve"> insight. Only realism can’t be proved by means of it. (OC 59)</w:t>
      </w:r>
    </w:p>
    <w:p w14:paraId="08AD15C4" w14:textId="77777777" w:rsidR="00EC2081" w:rsidRPr="00FC4B3D" w:rsidRDefault="00EC2081" w:rsidP="00591AAB">
      <w:pPr>
        <w:spacing w:line="360" w:lineRule="auto"/>
        <w:ind w:left="720"/>
        <w:jc w:val="both"/>
        <w:rPr>
          <w:rFonts w:ascii="Garamond" w:hAnsi="Garamond"/>
          <w:sz w:val="24"/>
          <w:szCs w:val="24"/>
        </w:rPr>
      </w:pPr>
      <w:r w:rsidRPr="00FC4B3D">
        <w:rPr>
          <w:rFonts w:ascii="Garamond" w:hAnsi="Garamond"/>
          <w:sz w:val="24"/>
          <w:szCs w:val="24"/>
        </w:rPr>
        <w:t xml:space="preserve">I know that this is my foot. I could not accept any experience as proof to the </w:t>
      </w:r>
      <w:proofErr w:type="gramStart"/>
      <w:r w:rsidRPr="00FC4B3D">
        <w:rPr>
          <w:rFonts w:ascii="Garamond" w:hAnsi="Garamond"/>
          <w:sz w:val="24"/>
          <w:szCs w:val="24"/>
        </w:rPr>
        <w:t>contrary.—</w:t>
      </w:r>
      <w:proofErr w:type="gramEnd"/>
      <w:r w:rsidRPr="00FC4B3D">
        <w:rPr>
          <w:rFonts w:ascii="Garamond" w:hAnsi="Garamond"/>
          <w:sz w:val="24"/>
          <w:szCs w:val="24"/>
        </w:rPr>
        <w:t xml:space="preserve">That may be an exclamation; but what </w:t>
      </w:r>
      <w:r w:rsidRPr="00FC4B3D">
        <w:rPr>
          <w:rFonts w:ascii="Garamond" w:hAnsi="Garamond"/>
          <w:i/>
          <w:iCs/>
          <w:sz w:val="24"/>
          <w:szCs w:val="24"/>
        </w:rPr>
        <w:t>follows</w:t>
      </w:r>
      <w:r w:rsidRPr="00FC4B3D">
        <w:rPr>
          <w:rFonts w:ascii="Garamond" w:hAnsi="Garamond"/>
          <w:sz w:val="24"/>
          <w:szCs w:val="24"/>
        </w:rPr>
        <w:t xml:space="preserve"> from it? At least that I shall act with a certainty that knows no doubt, in accordance with my belief. (OC 360)</w:t>
      </w:r>
    </w:p>
    <w:p w14:paraId="7328AE0E" w14:textId="77777777" w:rsidR="00EC2081" w:rsidRPr="00FC4B3D" w:rsidRDefault="00EC2081" w:rsidP="00591AAB">
      <w:pPr>
        <w:spacing w:line="360" w:lineRule="auto"/>
        <w:ind w:left="720"/>
        <w:jc w:val="both"/>
        <w:rPr>
          <w:rFonts w:ascii="Garamond" w:hAnsi="Garamond"/>
          <w:sz w:val="24"/>
          <w:szCs w:val="24"/>
        </w:rPr>
      </w:pPr>
      <w:r w:rsidRPr="00FC4B3D">
        <w:rPr>
          <w:rFonts w:ascii="Garamond" w:hAnsi="Garamond"/>
          <w:sz w:val="24"/>
          <w:szCs w:val="24"/>
        </w:rPr>
        <w:t xml:space="preserve">I should like to say: Moore does not </w:t>
      </w:r>
      <w:r w:rsidRPr="00FC4B3D">
        <w:rPr>
          <w:rFonts w:ascii="Garamond" w:hAnsi="Garamond"/>
          <w:i/>
          <w:iCs/>
          <w:sz w:val="24"/>
          <w:szCs w:val="24"/>
        </w:rPr>
        <w:t>know</w:t>
      </w:r>
      <w:r w:rsidRPr="00FC4B3D">
        <w:rPr>
          <w:rFonts w:ascii="Garamond" w:hAnsi="Garamond"/>
          <w:sz w:val="24"/>
          <w:szCs w:val="24"/>
        </w:rPr>
        <w:t xml:space="preserve"> what he asserts he knows, but it stands fast for him, as also for me; regarding it as </w:t>
      </w:r>
      <w:proofErr w:type="gramStart"/>
      <w:r w:rsidRPr="00FC4B3D">
        <w:rPr>
          <w:rFonts w:ascii="Garamond" w:hAnsi="Garamond"/>
          <w:sz w:val="24"/>
          <w:szCs w:val="24"/>
        </w:rPr>
        <w:t>absolutely solid</w:t>
      </w:r>
      <w:proofErr w:type="gramEnd"/>
      <w:r w:rsidRPr="00FC4B3D">
        <w:rPr>
          <w:rFonts w:ascii="Garamond" w:hAnsi="Garamond"/>
          <w:sz w:val="24"/>
          <w:szCs w:val="24"/>
        </w:rPr>
        <w:t xml:space="preserve"> is part of our </w:t>
      </w:r>
      <w:r w:rsidRPr="00FC4B3D">
        <w:rPr>
          <w:rFonts w:ascii="Garamond" w:hAnsi="Garamond"/>
          <w:i/>
          <w:iCs/>
          <w:sz w:val="24"/>
          <w:szCs w:val="24"/>
        </w:rPr>
        <w:t>method</w:t>
      </w:r>
      <w:r w:rsidRPr="00FC4B3D">
        <w:rPr>
          <w:rFonts w:ascii="Garamond" w:hAnsi="Garamond"/>
          <w:sz w:val="24"/>
          <w:szCs w:val="24"/>
        </w:rPr>
        <w:t xml:space="preserve"> of doubt and inquiry. (OC 151).</w:t>
      </w:r>
    </w:p>
    <w:p w14:paraId="7AAA5594" w14:textId="3557EBDA" w:rsidR="00EC2081" w:rsidRPr="00FC4B3D" w:rsidRDefault="00EC2081" w:rsidP="00591AAB">
      <w:pPr>
        <w:spacing w:after="0" w:line="360" w:lineRule="auto"/>
        <w:jc w:val="both"/>
        <w:rPr>
          <w:rFonts w:ascii="Garamond" w:hAnsi="Garamond"/>
          <w:sz w:val="24"/>
          <w:szCs w:val="24"/>
        </w:rPr>
      </w:pPr>
      <w:r w:rsidRPr="00FC4B3D">
        <w:rPr>
          <w:rFonts w:ascii="Garamond" w:hAnsi="Garamond"/>
          <w:sz w:val="24"/>
          <w:szCs w:val="24"/>
        </w:rPr>
        <w:t xml:space="preserve">Hence, to be more perspicuous, uses of “I </w:t>
      </w:r>
      <w:r w:rsidRPr="00FC4B3D">
        <w:rPr>
          <w:rFonts w:ascii="Garamond" w:hAnsi="Garamond"/>
          <w:i/>
          <w:sz w:val="24"/>
          <w:szCs w:val="24"/>
        </w:rPr>
        <w:t>k</w:t>
      </w:r>
      <w:r w:rsidRPr="00FC4B3D">
        <w:rPr>
          <w:rFonts w:ascii="Garamond" w:hAnsi="Garamond"/>
          <w:sz w:val="24"/>
          <w:szCs w:val="24"/>
        </w:rPr>
        <w:t>now” could be replaced by “Here I can’t be wrong” or “Here a mistake/doubt is logically impossible”,</w:t>
      </w:r>
      <w:r w:rsidR="007D2058" w:rsidRPr="00FC4B3D">
        <w:rPr>
          <w:rStyle w:val="FootnoteReference"/>
          <w:rFonts w:ascii="Garamond" w:hAnsi="Garamond"/>
          <w:sz w:val="24"/>
          <w:szCs w:val="24"/>
        </w:rPr>
        <w:footnoteReference w:id="5"/>
      </w:r>
      <w:r w:rsidRPr="00FC4B3D">
        <w:rPr>
          <w:rFonts w:ascii="Garamond" w:hAnsi="Garamond"/>
          <w:sz w:val="24"/>
          <w:szCs w:val="24"/>
        </w:rPr>
        <w:t xml:space="preserve"> or, even, “I couldn’t admit any experience as proof to the contrary”.</w:t>
      </w:r>
    </w:p>
    <w:p w14:paraId="73A210C3" w14:textId="603E6E32" w:rsidR="00EC2081" w:rsidRPr="00FC4B3D" w:rsidRDefault="00EC2081" w:rsidP="00C7459B">
      <w:pPr>
        <w:spacing w:after="0" w:line="360" w:lineRule="auto"/>
        <w:ind w:firstLine="720"/>
        <w:jc w:val="both"/>
        <w:rPr>
          <w:rFonts w:ascii="Garamond" w:hAnsi="Garamond"/>
          <w:sz w:val="24"/>
          <w:szCs w:val="24"/>
        </w:rPr>
      </w:pPr>
      <w:r w:rsidRPr="00FC4B3D">
        <w:rPr>
          <w:rFonts w:ascii="Garamond" w:hAnsi="Garamond"/>
          <w:sz w:val="24"/>
          <w:szCs w:val="24"/>
        </w:rPr>
        <w:t>Now, according to Wittgenstein, the fact that one can’t be wrong in these cases doesn’t depend on one’s privileged epistemic position, but on the role that the propositions one claims (grammatically) to know play in our language games.</w:t>
      </w:r>
      <w:r w:rsidR="007D2058" w:rsidRPr="00FC4B3D">
        <w:rPr>
          <w:rStyle w:val="FootnoteReference"/>
          <w:rFonts w:ascii="Garamond" w:hAnsi="Garamond"/>
          <w:sz w:val="24"/>
          <w:szCs w:val="24"/>
        </w:rPr>
        <w:footnoteReference w:id="6"/>
      </w:r>
      <w:r w:rsidRPr="00FC4B3D">
        <w:rPr>
          <w:rFonts w:ascii="Garamond" w:hAnsi="Garamond"/>
          <w:sz w:val="24"/>
          <w:szCs w:val="24"/>
        </w:rPr>
        <w:t xml:space="preserve"> These propositions – like “Here is my hand”, “There are physical objects”, “I am a human being”, “The earth has existed for a very long time”, etc. – have a normative function, even when they are the content of a judgment and not the explicit statement of a rule. They determine what needs to stay put to be allowed to take various kinds of empirical evidence as evidence in favor of ordinary empirical propositions. For instance, only by taking for granted that there are physical objects can one take one’s sensory experience at face value as evidence in favor of “Here </w:t>
      </w:r>
      <w:r w:rsidR="00F60734" w:rsidRPr="00FC4B3D">
        <w:rPr>
          <w:rFonts w:ascii="Garamond" w:hAnsi="Garamond"/>
          <w:sz w:val="24"/>
          <w:szCs w:val="24"/>
        </w:rPr>
        <w:t>is a computer in front of me”. Analogously, it is o</w:t>
      </w:r>
      <w:r w:rsidRPr="00FC4B3D">
        <w:rPr>
          <w:rFonts w:ascii="Garamond" w:hAnsi="Garamond"/>
          <w:sz w:val="24"/>
          <w:szCs w:val="24"/>
        </w:rPr>
        <w:t xml:space="preserve">nly by taking for granted that here is my hand, </w:t>
      </w:r>
      <w:r w:rsidR="00F60734" w:rsidRPr="00FC4B3D">
        <w:rPr>
          <w:rFonts w:ascii="Garamond" w:hAnsi="Garamond"/>
          <w:sz w:val="24"/>
          <w:szCs w:val="24"/>
        </w:rPr>
        <w:t xml:space="preserve">that </w:t>
      </w:r>
      <w:r w:rsidRPr="00FC4B3D">
        <w:rPr>
          <w:rFonts w:ascii="Garamond" w:hAnsi="Garamond"/>
          <w:sz w:val="24"/>
          <w:szCs w:val="24"/>
        </w:rPr>
        <w:t xml:space="preserve">I </w:t>
      </w:r>
      <w:r w:rsidR="00F60734" w:rsidRPr="00FC4B3D">
        <w:rPr>
          <w:rFonts w:ascii="Garamond" w:hAnsi="Garamond"/>
          <w:sz w:val="24"/>
          <w:szCs w:val="24"/>
        </w:rPr>
        <w:t xml:space="preserve">can </w:t>
      </w:r>
      <w:r w:rsidRPr="00FC4B3D">
        <w:rPr>
          <w:rFonts w:ascii="Garamond" w:hAnsi="Garamond"/>
          <w:sz w:val="24"/>
          <w:szCs w:val="24"/>
        </w:rPr>
        <w:t>take my sensory evidence as being produced by the reliable workings of my sensory system. If I doubted of the former, I should also doubt of the latter, which is presenting to me that portion of the world as occupied by such an object. Similarly, it is only by taking for granted that the earth has existed for a very long time that I can take a fossil as evidence relevant to the determination of the specific age of the earth. If I didn’t take that for granted, then that fossil by itself would not play any evidential role, since its existence would then become compatible with the hypothesis that the world had just popped into existence a few minutes ago, replete with everything we find in it (including ourselves, our memories, etc.).</w:t>
      </w:r>
    </w:p>
    <w:p w14:paraId="2B6A0EBD" w14:textId="77777777" w:rsidR="00EC2081" w:rsidRPr="00FC4B3D" w:rsidRDefault="00EC2081" w:rsidP="00CF026C">
      <w:pPr>
        <w:spacing w:after="0" w:line="360" w:lineRule="auto"/>
        <w:ind w:firstLine="720"/>
        <w:jc w:val="both"/>
        <w:rPr>
          <w:rFonts w:ascii="Garamond" w:hAnsi="Garamond"/>
          <w:sz w:val="24"/>
          <w:szCs w:val="24"/>
        </w:rPr>
      </w:pPr>
      <w:r w:rsidRPr="00FC4B3D">
        <w:rPr>
          <w:rFonts w:ascii="Garamond" w:hAnsi="Garamond"/>
          <w:sz w:val="24"/>
          <w:szCs w:val="24"/>
        </w:rPr>
        <w:t xml:space="preserve">Since these propositions need to stay put </w:t>
      </w:r>
      <w:proofErr w:type="gramStart"/>
      <w:r w:rsidRPr="00FC4B3D">
        <w:rPr>
          <w:rFonts w:ascii="Garamond" w:hAnsi="Garamond"/>
          <w:sz w:val="24"/>
          <w:szCs w:val="24"/>
        </w:rPr>
        <w:t>in order for</w:t>
      </w:r>
      <w:proofErr w:type="gramEnd"/>
      <w:r w:rsidRPr="00FC4B3D">
        <w:rPr>
          <w:rFonts w:ascii="Garamond" w:hAnsi="Garamond"/>
          <w:sz w:val="24"/>
          <w:szCs w:val="24"/>
        </w:rPr>
        <w:t xml:space="preserve"> the door to turn, that is, in order for our epistemic practices to function as they do, Wittgenstein famously likens them to </w:t>
      </w:r>
      <w:r w:rsidR="00C7459B" w:rsidRPr="00FC4B3D">
        <w:rPr>
          <w:rFonts w:ascii="Garamond" w:hAnsi="Garamond"/>
          <w:sz w:val="24"/>
          <w:szCs w:val="24"/>
        </w:rPr>
        <w:t>“</w:t>
      </w:r>
      <w:r w:rsidRPr="00FC4B3D">
        <w:rPr>
          <w:rFonts w:ascii="Garamond" w:hAnsi="Garamond"/>
          <w:sz w:val="24"/>
          <w:szCs w:val="24"/>
        </w:rPr>
        <w:t>hinges</w:t>
      </w:r>
      <w:r w:rsidR="00C7459B" w:rsidRPr="00FC4B3D">
        <w:rPr>
          <w:rFonts w:ascii="Garamond" w:hAnsi="Garamond"/>
          <w:sz w:val="24"/>
          <w:szCs w:val="24"/>
        </w:rPr>
        <w:t>”</w:t>
      </w:r>
      <w:r w:rsidRPr="00FC4B3D">
        <w:rPr>
          <w:rFonts w:ascii="Garamond" w:hAnsi="Garamond"/>
          <w:sz w:val="24"/>
          <w:szCs w:val="24"/>
        </w:rPr>
        <w:t>. He writes:</w:t>
      </w:r>
    </w:p>
    <w:p w14:paraId="1EC432EB" w14:textId="77777777" w:rsidR="00EC2081" w:rsidRPr="00FC4B3D" w:rsidRDefault="00EC2081" w:rsidP="00591AAB">
      <w:pPr>
        <w:spacing w:after="0" w:line="360" w:lineRule="auto"/>
        <w:jc w:val="both"/>
        <w:rPr>
          <w:rFonts w:ascii="Garamond" w:hAnsi="Garamond"/>
          <w:sz w:val="24"/>
          <w:szCs w:val="24"/>
        </w:rPr>
      </w:pPr>
    </w:p>
    <w:p w14:paraId="67E21512" w14:textId="77777777" w:rsidR="00EC2081" w:rsidRPr="00FC4B3D" w:rsidRDefault="00EC2081" w:rsidP="00F60734">
      <w:pPr>
        <w:tabs>
          <w:tab w:val="left" w:pos="709"/>
        </w:tabs>
        <w:spacing w:after="0" w:line="360" w:lineRule="auto"/>
        <w:ind w:left="709"/>
        <w:jc w:val="both"/>
        <w:rPr>
          <w:rFonts w:ascii="Garamond" w:hAnsi="Garamond"/>
          <w:sz w:val="24"/>
          <w:szCs w:val="24"/>
        </w:rPr>
      </w:pPr>
      <w:r w:rsidRPr="00FC4B3D">
        <w:rPr>
          <w:rFonts w:ascii="Garamond" w:hAnsi="Garamond"/>
          <w:sz w:val="24"/>
          <w:szCs w:val="24"/>
        </w:rPr>
        <w:t xml:space="preserve">That is to say, the questions that we </w:t>
      </w:r>
      <w:proofErr w:type="gramStart"/>
      <w:r w:rsidRPr="00FC4B3D">
        <w:rPr>
          <w:rFonts w:ascii="Garamond" w:hAnsi="Garamond"/>
          <w:sz w:val="24"/>
          <w:szCs w:val="24"/>
        </w:rPr>
        <w:t>raise</w:t>
      </w:r>
      <w:proofErr w:type="gramEnd"/>
      <w:r w:rsidRPr="00FC4B3D">
        <w:rPr>
          <w:rFonts w:ascii="Garamond" w:hAnsi="Garamond"/>
          <w:sz w:val="24"/>
          <w:szCs w:val="24"/>
        </w:rPr>
        <w:t xml:space="preserve"> and our doubts depend on the fact that some propositions are exempt from doubt, are as it were like hinges on which those turn.</w:t>
      </w:r>
      <w:r w:rsidR="00CF026C" w:rsidRPr="00FC4B3D">
        <w:rPr>
          <w:rFonts w:ascii="Garamond" w:hAnsi="Garamond"/>
          <w:sz w:val="24"/>
          <w:szCs w:val="24"/>
        </w:rPr>
        <w:t xml:space="preserve"> (OC 341)</w:t>
      </w:r>
    </w:p>
    <w:p w14:paraId="674F3A1D" w14:textId="77777777" w:rsidR="00EC2081" w:rsidRPr="00FC4B3D" w:rsidRDefault="00EC2081" w:rsidP="00F60734">
      <w:pPr>
        <w:tabs>
          <w:tab w:val="left" w:pos="709"/>
        </w:tabs>
        <w:spacing w:after="0" w:line="360" w:lineRule="auto"/>
        <w:ind w:left="709"/>
        <w:jc w:val="both"/>
        <w:rPr>
          <w:rFonts w:ascii="Garamond" w:hAnsi="Garamond"/>
          <w:sz w:val="24"/>
          <w:szCs w:val="24"/>
        </w:rPr>
      </w:pPr>
      <w:r w:rsidRPr="00FC4B3D">
        <w:rPr>
          <w:rFonts w:ascii="Garamond" w:hAnsi="Garamond"/>
          <w:sz w:val="24"/>
          <w:szCs w:val="24"/>
        </w:rPr>
        <w:t xml:space="preserve">That is to say, it belongs to the logic of our scientific investigations that certain things are </w:t>
      </w:r>
      <w:proofErr w:type="gramStart"/>
      <w:r w:rsidRPr="00FC4B3D">
        <w:rPr>
          <w:rFonts w:ascii="Garamond" w:hAnsi="Garamond"/>
          <w:sz w:val="24"/>
          <w:szCs w:val="24"/>
        </w:rPr>
        <w:t>in deed</w:t>
      </w:r>
      <w:proofErr w:type="gramEnd"/>
      <w:r w:rsidRPr="00FC4B3D">
        <w:rPr>
          <w:rFonts w:ascii="Garamond" w:hAnsi="Garamond"/>
          <w:sz w:val="24"/>
          <w:szCs w:val="24"/>
        </w:rPr>
        <w:t xml:space="preserve"> not doubted.</w:t>
      </w:r>
      <w:r w:rsidR="00CF026C" w:rsidRPr="00FC4B3D">
        <w:rPr>
          <w:rFonts w:ascii="Garamond" w:hAnsi="Garamond"/>
          <w:sz w:val="24"/>
          <w:szCs w:val="24"/>
        </w:rPr>
        <w:t xml:space="preserve"> (OC 342)</w:t>
      </w:r>
    </w:p>
    <w:p w14:paraId="65755DEC" w14:textId="3BBE5D3F" w:rsidR="00EC2081" w:rsidRPr="00FC4B3D" w:rsidRDefault="000C0166" w:rsidP="00F60734">
      <w:pPr>
        <w:tabs>
          <w:tab w:val="left" w:pos="709"/>
        </w:tabs>
        <w:spacing w:after="0" w:line="360" w:lineRule="auto"/>
        <w:ind w:left="709"/>
        <w:jc w:val="both"/>
        <w:rPr>
          <w:rFonts w:ascii="Garamond" w:hAnsi="Garamond"/>
          <w:sz w:val="24"/>
          <w:szCs w:val="24"/>
        </w:rPr>
      </w:pPr>
      <w:r w:rsidRPr="00FC4B3D">
        <w:rPr>
          <w:rFonts w:ascii="Garamond" w:hAnsi="Garamond"/>
          <w:sz w:val="24"/>
          <w:szCs w:val="24"/>
        </w:rPr>
        <w:t>But it isn’</w:t>
      </w:r>
      <w:r w:rsidR="00EC2081" w:rsidRPr="00FC4B3D">
        <w:rPr>
          <w:rFonts w:ascii="Garamond" w:hAnsi="Garamond"/>
          <w:sz w:val="24"/>
          <w:szCs w:val="24"/>
        </w:rPr>
        <w:t>t that the situ</w:t>
      </w:r>
      <w:r w:rsidRPr="00FC4B3D">
        <w:rPr>
          <w:rFonts w:ascii="Garamond" w:hAnsi="Garamond"/>
          <w:sz w:val="24"/>
          <w:szCs w:val="24"/>
        </w:rPr>
        <w:t>ation is like this: We just can’</w:t>
      </w:r>
      <w:r w:rsidR="00EC2081" w:rsidRPr="00FC4B3D">
        <w:rPr>
          <w:rFonts w:ascii="Garamond" w:hAnsi="Garamond"/>
          <w:sz w:val="24"/>
          <w:szCs w:val="24"/>
        </w:rPr>
        <w:t xml:space="preserve">t investigate everything, and for that reason we are forced to rest content with assumption. If I want the door to turn, the hinges must stay put. </w:t>
      </w:r>
      <w:r w:rsidR="00CF026C" w:rsidRPr="00FC4B3D">
        <w:rPr>
          <w:rFonts w:ascii="Garamond" w:hAnsi="Garamond"/>
          <w:sz w:val="24"/>
          <w:szCs w:val="24"/>
        </w:rPr>
        <w:t>(OC 343)</w:t>
      </w:r>
    </w:p>
    <w:p w14:paraId="110C1A53" w14:textId="77777777" w:rsidR="00BF4E01" w:rsidRPr="00FC4B3D" w:rsidRDefault="00BF4E01" w:rsidP="00F60734">
      <w:pPr>
        <w:tabs>
          <w:tab w:val="left" w:pos="709"/>
        </w:tabs>
        <w:spacing w:after="0" w:line="360" w:lineRule="auto"/>
        <w:ind w:left="709"/>
        <w:jc w:val="both"/>
        <w:rPr>
          <w:rFonts w:ascii="Garamond" w:hAnsi="Garamond"/>
          <w:sz w:val="24"/>
          <w:szCs w:val="24"/>
        </w:rPr>
      </w:pPr>
    </w:p>
    <w:p w14:paraId="62A11C72" w14:textId="77777777" w:rsidR="00EC2081" w:rsidRPr="00FC4B3D" w:rsidRDefault="00EC2081" w:rsidP="00591AAB">
      <w:pPr>
        <w:spacing w:after="0" w:line="360" w:lineRule="auto"/>
        <w:jc w:val="both"/>
        <w:rPr>
          <w:rFonts w:ascii="Garamond" w:hAnsi="Garamond"/>
          <w:sz w:val="24"/>
          <w:szCs w:val="24"/>
        </w:rPr>
      </w:pPr>
      <w:r w:rsidRPr="00FC4B3D">
        <w:rPr>
          <w:rFonts w:ascii="Garamond" w:hAnsi="Garamond"/>
          <w:sz w:val="24"/>
          <w:szCs w:val="24"/>
        </w:rPr>
        <w:t>In context, however, hinges can also be used as explicit formulations of rules, e.g. when we use “This is a hand” as an ostensive definition of the meaning of the word “hand” in English; or “Here is a human being” said while pointing at myself to teach my three year-old kid the meaning of “human being”; or “This is a physical object”, said while pointing at a pen I hold in my hand, to explain to her the meaning of that expression. Here are some of Wittgenstein’s own examples:</w:t>
      </w:r>
    </w:p>
    <w:p w14:paraId="59CD28F7" w14:textId="77777777" w:rsidR="00EC2081" w:rsidRPr="00FC4B3D" w:rsidRDefault="00EC2081" w:rsidP="00591AAB">
      <w:pPr>
        <w:spacing w:after="0" w:line="360" w:lineRule="auto"/>
        <w:jc w:val="both"/>
        <w:rPr>
          <w:rFonts w:ascii="Garamond" w:hAnsi="Garamond"/>
          <w:sz w:val="24"/>
          <w:szCs w:val="24"/>
        </w:rPr>
      </w:pPr>
    </w:p>
    <w:p w14:paraId="2EA9669F" w14:textId="33E78EC6" w:rsidR="00EC2081" w:rsidRPr="00FC4B3D" w:rsidRDefault="000C0166" w:rsidP="00F60734">
      <w:pPr>
        <w:spacing w:after="0" w:line="360" w:lineRule="auto"/>
        <w:ind w:left="709"/>
        <w:jc w:val="both"/>
        <w:rPr>
          <w:rFonts w:ascii="Garamond" w:hAnsi="Garamond"/>
          <w:sz w:val="24"/>
          <w:szCs w:val="24"/>
        </w:rPr>
      </w:pPr>
      <w:r w:rsidRPr="00FC4B3D">
        <w:rPr>
          <w:rFonts w:ascii="Garamond" w:hAnsi="Garamond"/>
          <w:sz w:val="24"/>
          <w:szCs w:val="24"/>
        </w:rPr>
        <w:t>“A is a physical object”</w:t>
      </w:r>
      <w:r w:rsidR="00EC2081" w:rsidRPr="00FC4B3D">
        <w:rPr>
          <w:rFonts w:ascii="Garamond" w:hAnsi="Garamond"/>
          <w:sz w:val="24"/>
          <w:szCs w:val="24"/>
        </w:rPr>
        <w:t xml:space="preserve"> is a piece of instruction which we</w:t>
      </w:r>
      <w:r w:rsidRPr="00FC4B3D">
        <w:rPr>
          <w:rFonts w:ascii="Garamond" w:hAnsi="Garamond"/>
          <w:sz w:val="24"/>
          <w:szCs w:val="24"/>
        </w:rPr>
        <w:t xml:space="preserve"> give only to someone who doesn’t yet understand either what “A” means, or what “</w:t>
      </w:r>
      <w:r w:rsidR="00EC2081" w:rsidRPr="00FC4B3D">
        <w:rPr>
          <w:rFonts w:ascii="Garamond" w:hAnsi="Garamond"/>
          <w:sz w:val="24"/>
          <w:szCs w:val="24"/>
        </w:rPr>
        <w:t>physical object</w:t>
      </w:r>
      <w:r w:rsidRPr="00FC4B3D">
        <w:rPr>
          <w:rFonts w:ascii="Garamond" w:hAnsi="Garamond"/>
          <w:sz w:val="24"/>
          <w:szCs w:val="24"/>
        </w:rPr>
        <w:t>”</w:t>
      </w:r>
      <w:r w:rsidR="00EC2081" w:rsidRPr="00FC4B3D">
        <w:rPr>
          <w:rFonts w:ascii="Garamond" w:hAnsi="Garamond"/>
          <w:sz w:val="24"/>
          <w:szCs w:val="24"/>
        </w:rPr>
        <w:t xml:space="preserve"> means. </w:t>
      </w:r>
      <w:proofErr w:type="gramStart"/>
      <w:r w:rsidR="00EC2081" w:rsidRPr="00FC4B3D">
        <w:rPr>
          <w:rFonts w:ascii="Garamond" w:hAnsi="Garamond"/>
          <w:sz w:val="24"/>
          <w:szCs w:val="24"/>
        </w:rPr>
        <w:t>Thus</w:t>
      </w:r>
      <w:proofErr w:type="gramEnd"/>
      <w:r w:rsidR="00EC2081" w:rsidRPr="00FC4B3D">
        <w:rPr>
          <w:rFonts w:ascii="Garamond" w:hAnsi="Garamond"/>
          <w:sz w:val="24"/>
          <w:szCs w:val="24"/>
        </w:rPr>
        <w:t xml:space="preserve"> it is</w:t>
      </w:r>
      <w:r w:rsidR="001841DD" w:rsidRPr="00FC4B3D">
        <w:rPr>
          <w:rFonts w:ascii="Garamond" w:hAnsi="Garamond"/>
          <w:sz w:val="24"/>
          <w:szCs w:val="24"/>
        </w:rPr>
        <w:t xml:space="preserve"> an</w:t>
      </w:r>
      <w:r w:rsidR="00EC2081" w:rsidRPr="00FC4B3D">
        <w:rPr>
          <w:rFonts w:ascii="Garamond" w:hAnsi="Garamond"/>
          <w:sz w:val="24"/>
          <w:szCs w:val="24"/>
        </w:rPr>
        <w:t xml:space="preserve"> instructi</w:t>
      </w:r>
      <w:r w:rsidRPr="00FC4B3D">
        <w:rPr>
          <w:rFonts w:ascii="Garamond" w:hAnsi="Garamond"/>
          <w:sz w:val="24"/>
          <w:szCs w:val="24"/>
        </w:rPr>
        <w:t>on about the use of words, and “physical object”</w:t>
      </w:r>
      <w:r w:rsidR="00EC2081" w:rsidRPr="00FC4B3D">
        <w:rPr>
          <w:rFonts w:ascii="Garamond" w:hAnsi="Garamond"/>
          <w:sz w:val="24"/>
          <w:szCs w:val="24"/>
        </w:rPr>
        <w:t xml:space="preserve"> is a logical </w:t>
      </w:r>
      <w:r w:rsidR="00BF4E01" w:rsidRPr="00FC4B3D">
        <w:rPr>
          <w:rFonts w:ascii="Garamond" w:hAnsi="Garamond"/>
          <w:sz w:val="24"/>
          <w:szCs w:val="24"/>
        </w:rPr>
        <w:t xml:space="preserve">[categorial] </w:t>
      </w:r>
      <w:r w:rsidR="00EC2081" w:rsidRPr="00FC4B3D">
        <w:rPr>
          <w:rFonts w:ascii="Garamond" w:hAnsi="Garamond"/>
          <w:sz w:val="24"/>
          <w:szCs w:val="24"/>
        </w:rPr>
        <w:t xml:space="preserve">concept. (Like </w:t>
      </w:r>
      <w:proofErr w:type="spellStart"/>
      <w:r w:rsidR="00EC2081" w:rsidRPr="00FC4B3D">
        <w:rPr>
          <w:rFonts w:ascii="Garamond" w:hAnsi="Garamond"/>
          <w:sz w:val="24"/>
          <w:szCs w:val="24"/>
        </w:rPr>
        <w:t>colour</w:t>
      </w:r>
      <w:proofErr w:type="spellEnd"/>
      <w:r w:rsidR="00EC2081" w:rsidRPr="00FC4B3D">
        <w:rPr>
          <w:rFonts w:ascii="Garamond" w:hAnsi="Garamond"/>
          <w:sz w:val="24"/>
          <w:szCs w:val="24"/>
        </w:rPr>
        <w:t xml:space="preserve">, </w:t>
      </w:r>
      <w:proofErr w:type="gramStart"/>
      <w:r w:rsidR="00EC2081" w:rsidRPr="00FC4B3D">
        <w:rPr>
          <w:rFonts w:ascii="Garamond" w:hAnsi="Garamond"/>
          <w:sz w:val="24"/>
          <w:szCs w:val="24"/>
        </w:rPr>
        <w:t>quantity,...</w:t>
      </w:r>
      <w:proofErr w:type="gramEnd"/>
      <w:r w:rsidR="00EC2081" w:rsidRPr="00FC4B3D">
        <w:rPr>
          <w:rFonts w:ascii="Garamond" w:hAnsi="Garamond"/>
          <w:sz w:val="24"/>
          <w:szCs w:val="24"/>
        </w:rPr>
        <w:t xml:space="preserve">) And that </w:t>
      </w:r>
      <w:r w:rsidRPr="00FC4B3D">
        <w:rPr>
          <w:rFonts w:ascii="Garamond" w:hAnsi="Garamond"/>
          <w:sz w:val="24"/>
          <w:szCs w:val="24"/>
        </w:rPr>
        <w:t>is why no such proposition as: “There are physical objects”</w:t>
      </w:r>
      <w:r w:rsidR="00EC2081" w:rsidRPr="00FC4B3D">
        <w:rPr>
          <w:rFonts w:ascii="Garamond" w:hAnsi="Garamond"/>
          <w:sz w:val="24"/>
          <w:szCs w:val="24"/>
        </w:rPr>
        <w:t xml:space="preserve"> can be formulated. Yet we encounter such unsuccessful shots at every turn.</w:t>
      </w:r>
      <w:r w:rsidR="00CF026C" w:rsidRPr="00FC4B3D">
        <w:rPr>
          <w:rFonts w:ascii="Garamond" w:hAnsi="Garamond"/>
          <w:sz w:val="24"/>
          <w:szCs w:val="24"/>
        </w:rPr>
        <w:t xml:space="preserve"> (OC 36)</w:t>
      </w:r>
    </w:p>
    <w:p w14:paraId="33D2A1E7" w14:textId="77777777" w:rsidR="000C0166" w:rsidRPr="00FC4B3D" w:rsidRDefault="00EC2081" w:rsidP="00F60734">
      <w:pPr>
        <w:spacing w:after="0" w:line="360" w:lineRule="auto"/>
        <w:ind w:left="709"/>
        <w:jc w:val="both"/>
        <w:rPr>
          <w:rFonts w:ascii="Garamond" w:hAnsi="Garamond"/>
          <w:sz w:val="24"/>
          <w:szCs w:val="24"/>
        </w:rPr>
      </w:pPr>
      <w:r w:rsidRPr="00FC4B3D">
        <w:rPr>
          <w:rFonts w:ascii="Garamond" w:hAnsi="Garamond"/>
          <w:sz w:val="24"/>
          <w:szCs w:val="24"/>
        </w:rPr>
        <w:t>If I wanted to doubt whether this was my hand, how could I a</w:t>
      </w:r>
      <w:r w:rsidR="000C0166" w:rsidRPr="00FC4B3D">
        <w:rPr>
          <w:rFonts w:ascii="Garamond" w:hAnsi="Garamond"/>
          <w:sz w:val="24"/>
          <w:szCs w:val="24"/>
        </w:rPr>
        <w:t>void doubting whether the word “hand”</w:t>
      </w:r>
      <w:r w:rsidRPr="00FC4B3D">
        <w:rPr>
          <w:rFonts w:ascii="Garamond" w:hAnsi="Garamond"/>
          <w:sz w:val="24"/>
          <w:szCs w:val="24"/>
        </w:rPr>
        <w:t xml:space="preserve"> has any meaning? So that is some</w:t>
      </w:r>
      <w:r w:rsidR="000C0166" w:rsidRPr="00FC4B3D">
        <w:rPr>
          <w:rFonts w:ascii="Garamond" w:hAnsi="Garamond"/>
          <w:sz w:val="24"/>
          <w:szCs w:val="24"/>
        </w:rPr>
        <w:t>thing I seem to know after all.</w:t>
      </w:r>
      <w:r w:rsidR="00CF026C" w:rsidRPr="00FC4B3D">
        <w:rPr>
          <w:rFonts w:ascii="Garamond" w:hAnsi="Garamond"/>
          <w:sz w:val="24"/>
          <w:szCs w:val="24"/>
        </w:rPr>
        <w:t xml:space="preserve"> (OC 369)</w:t>
      </w:r>
    </w:p>
    <w:p w14:paraId="3299E0FA" w14:textId="7525907A" w:rsidR="00EC2081" w:rsidRPr="00FC4B3D" w:rsidRDefault="00EC2081" w:rsidP="00F60734">
      <w:pPr>
        <w:spacing w:after="0" w:line="360" w:lineRule="auto"/>
        <w:ind w:left="709"/>
        <w:jc w:val="both"/>
        <w:rPr>
          <w:rFonts w:ascii="Garamond" w:hAnsi="Garamond"/>
          <w:sz w:val="24"/>
          <w:szCs w:val="24"/>
        </w:rPr>
      </w:pPr>
      <w:r w:rsidRPr="00FC4B3D">
        <w:rPr>
          <w:rFonts w:ascii="Garamond" w:hAnsi="Garamond"/>
          <w:sz w:val="24"/>
          <w:szCs w:val="24"/>
        </w:rPr>
        <w:t>But more correctly</w:t>
      </w:r>
      <w:r w:rsidR="000C0166" w:rsidRPr="00FC4B3D">
        <w:rPr>
          <w:rFonts w:ascii="Garamond" w:hAnsi="Garamond"/>
          <w:sz w:val="24"/>
          <w:szCs w:val="24"/>
        </w:rPr>
        <w:t>: The fact that I use the word “hand”</w:t>
      </w:r>
      <w:r w:rsidRPr="00FC4B3D">
        <w:rPr>
          <w:rFonts w:ascii="Garamond" w:hAnsi="Garamond"/>
          <w:sz w:val="24"/>
          <w:szCs w:val="24"/>
        </w:rPr>
        <w:t xml:space="preserve"> and all the other words in my sentence without a second thought, indeed that I should stand before the abyss if I wanted so much as to try doubting their meanings - shows that absence of doubt belongs to the essence of the la</w:t>
      </w:r>
      <w:r w:rsidR="000C0166" w:rsidRPr="00FC4B3D">
        <w:rPr>
          <w:rFonts w:ascii="Garamond" w:hAnsi="Garamond"/>
          <w:sz w:val="24"/>
          <w:szCs w:val="24"/>
        </w:rPr>
        <w:t>nguage-game, that the question “</w:t>
      </w:r>
      <w:r w:rsidRPr="00FC4B3D">
        <w:rPr>
          <w:rFonts w:ascii="Garamond" w:hAnsi="Garamond"/>
          <w:sz w:val="24"/>
          <w:szCs w:val="24"/>
        </w:rPr>
        <w:t xml:space="preserve">How do I </w:t>
      </w:r>
      <w:r w:rsidR="000C0166" w:rsidRPr="00FC4B3D">
        <w:rPr>
          <w:rFonts w:ascii="Garamond" w:hAnsi="Garamond"/>
          <w:sz w:val="24"/>
          <w:szCs w:val="24"/>
        </w:rPr>
        <w:t>know...”</w:t>
      </w:r>
      <w:r w:rsidRPr="00FC4B3D">
        <w:rPr>
          <w:rFonts w:ascii="Garamond" w:hAnsi="Garamond"/>
          <w:sz w:val="24"/>
          <w:szCs w:val="24"/>
        </w:rPr>
        <w:t xml:space="preserve"> drags out the language-game, or else does away with it.</w:t>
      </w:r>
      <w:r w:rsidR="00CF026C" w:rsidRPr="00FC4B3D">
        <w:rPr>
          <w:rFonts w:ascii="Garamond" w:hAnsi="Garamond"/>
          <w:sz w:val="24"/>
          <w:szCs w:val="24"/>
        </w:rPr>
        <w:t xml:space="preserve"> (OC 370)</w:t>
      </w:r>
    </w:p>
    <w:p w14:paraId="3D247CA6" w14:textId="77777777" w:rsidR="00BF4E01" w:rsidRPr="00FC4B3D" w:rsidRDefault="00BF4E01" w:rsidP="00F60734">
      <w:pPr>
        <w:spacing w:after="0" w:line="360" w:lineRule="auto"/>
        <w:ind w:left="709"/>
        <w:jc w:val="both"/>
        <w:rPr>
          <w:rFonts w:ascii="Garamond" w:hAnsi="Garamond"/>
          <w:sz w:val="24"/>
          <w:szCs w:val="24"/>
        </w:rPr>
      </w:pPr>
    </w:p>
    <w:p w14:paraId="5458AA4A" w14:textId="77777777" w:rsidR="000A6D04" w:rsidRPr="00FC4B3D" w:rsidRDefault="00EC2081" w:rsidP="00591AAB">
      <w:pPr>
        <w:spacing w:after="0" w:line="360" w:lineRule="auto"/>
        <w:jc w:val="both"/>
        <w:rPr>
          <w:rFonts w:ascii="Garamond" w:hAnsi="Garamond"/>
          <w:sz w:val="24"/>
          <w:szCs w:val="24"/>
        </w:rPr>
      </w:pPr>
      <w:r w:rsidRPr="00FC4B3D">
        <w:rPr>
          <w:rFonts w:ascii="Garamond" w:hAnsi="Garamond"/>
          <w:sz w:val="24"/>
          <w:szCs w:val="24"/>
        </w:rPr>
        <w:t>Hinges, that is, contribute to the determination of meaning</w:t>
      </w:r>
      <w:r w:rsidR="000A6D04" w:rsidRPr="00FC4B3D">
        <w:rPr>
          <w:rFonts w:ascii="Garamond" w:hAnsi="Garamond"/>
          <w:sz w:val="24"/>
          <w:szCs w:val="24"/>
        </w:rPr>
        <w:t xml:space="preserve"> in two ways. First, when we use paradigms to </w:t>
      </w:r>
      <w:proofErr w:type="spellStart"/>
      <w:r w:rsidR="000A6D04" w:rsidRPr="00FC4B3D">
        <w:rPr>
          <w:rFonts w:ascii="Garamond" w:hAnsi="Garamond"/>
          <w:sz w:val="24"/>
          <w:szCs w:val="24"/>
        </w:rPr>
        <w:t>ostensivel</w:t>
      </w:r>
      <w:r w:rsidR="00C7459B" w:rsidRPr="00FC4B3D">
        <w:rPr>
          <w:rFonts w:ascii="Garamond" w:hAnsi="Garamond"/>
          <w:sz w:val="24"/>
          <w:szCs w:val="24"/>
        </w:rPr>
        <w:t>y</w:t>
      </w:r>
      <w:proofErr w:type="spellEnd"/>
      <w:r w:rsidR="00C7459B" w:rsidRPr="00FC4B3D">
        <w:rPr>
          <w:rFonts w:ascii="Garamond" w:hAnsi="Garamond"/>
          <w:sz w:val="24"/>
          <w:szCs w:val="24"/>
        </w:rPr>
        <w:t xml:space="preserve"> define the meaning of words. F</w:t>
      </w:r>
      <w:r w:rsidR="00F60734" w:rsidRPr="00FC4B3D">
        <w:rPr>
          <w:rFonts w:ascii="Garamond" w:hAnsi="Garamond"/>
          <w:sz w:val="24"/>
          <w:szCs w:val="24"/>
        </w:rPr>
        <w:t>or t</w:t>
      </w:r>
      <w:r w:rsidR="000A6D04" w:rsidRPr="00FC4B3D">
        <w:rPr>
          <w:rFonts w:ascii="Garamond" w:hAnsi="Garamond"/>
          <w:sz w:val="24"/>
          <w:szCs w:val="24"/>
        </w:rPr>
        <w:t>he existence of the object must be taken for granted for this kind of de</w:t>
      </w:r>
      <w:r w:rsidR="001A3100" w:rsidRPr="00FC4B3D">
        <w:rPr>
          <w:rFonts w:ascii="Garamond" w:hAnsi="Garamond"/>
          <w:sz w:val="24"/>
          <w:szCs w:val="24"/>
        </w:rPr>
        <w:t>finition to take place. Second</w:t>
      </w:r>
      <w:r w:rsidR="000A6D04" w:rsidRPr="00FC4B3D">
        <w:rPr>
          <w:rFonts w:ascii="Garamond" w:hAnsi="Garamond"/>
          <w:sz w:val="24"/>
          <w:szCs w:val="24"/>
        </w:rPr>
        <w:t>,</w:t>
      </w:r>
      <w:r w:rsidRPr="00FC4B3D">
        <w:rPr>
          <w:rFonts w:ascii="Garamond" w:hAnsi="Garamond"/>
          <w:sz w:val="24"/>
          <w:szCs w:val="24"/>
        </w:rPr>
        <w:t xml:space="preserve"> meaning is established not only by definitions</w:t>
      </w:r>
      <w:r w:rsidR="00CF026C" w:rsidRPr="00FC4B3D">
        <w:rPr>
          <w:rFonts w:ascii="Garamond" w:hAnsi="Garamond"/>
          <w:sz w:val="24"/>
          <w:szCs w:val="24"/>
        </w:rPr>
        <w:t>,</w:t>
      </w:r>
      <w:r w:rsidRPr="00FC4B3D">
        <w:rPr>
          <w:rFonts w:ascii="Garamond" w:hAnsi="Garamond"/>
          <w:sz w:val="24"/>
          <w:szCs w:val="24"/>
        </w:rPr>
        <w:t xml:space="preserve"> </w:t>
      </w:r>
      <w:r w:rsidR="001A3100" w:rsidRPr="00FC4B3D">
        <w:rPr>
          <w:rFonts w:ascii="Garamond" w:hAnsi="Garamond"/>
          <w:sz w:val="24"/>
          <w:szCs w:val="24"/>
        </w:rPr>
        <w:t xml:space="preserve">for Wittgenstein, </w:t>
      </w:r>
      <w:r w:rsidRPr="00FC4B3D">
        <w:rPr>
          <w:rFonts w:ascii="Garamond" w:hAnsi="Garamond"/>
          <w:sz w:val="24"/>
          <w:szCs w:val="24"/>
        </w:rPr>
        <w:t>bu</w:t>
      </w:r>
      <w:r w:rsidR="001A3100" w:rsidRPr="00FC4B3D">
        <w:rPr>
          <w:rFonts w:ascii="Garamond" w:hAnsi="Garamond"/>
          <w:sz w:val="24"/>
          <w:szCs w:val="24"/>
        </w:rPr>
        <w:t>t also by agreement in judgment. Thus,</w:t>
      </w:r>
      <w:r w:rsidRPr="00FC4B3D">
        <w:rPr>
          <w:rFonts w:ascii="Garamond" w:hAnsi="Garamond"/>
          <w:sz w:val="24"/>
          <w:szCs w:val="24"/>
        </w:rPr>
        <w:t xml:space="preserve"> </w:t>
      </w:r>
      <w:r w:rsidR="000A6D04" w:rsidRPr="00FC4B3D">
        <w:rPr>
          <w:rFonts w:ascii="Garamond" w:hAnsi="Garamond"/>
          <w:sz w:val="24"/>
          <w:szCs w:val="24"/>
        </w:rPr>
        <w:t>some of our judgements, such as “Here is my hand” (in Moore-</w:t>
      </w:r>
      <w:r w:rsidR="000A6D04" w:rsidRPr="00FC4B3D">
        <w:rPr>
          <w:rFonts w:ascii="Garamond" w:hAnsi="Garamond"/>
          <w:sz w:val="24"/>
          <w:szCs w:val="24"/>
        </w:rPr>
        <w:lastRenderedPageBreak/>
        <w:t>like circumstances), m</w:t>
      </w:r>
      <w:r w:rsidR="001A3100" w:rsidRPr="00FC4B3D">
        <w:rPr>
          <w:rFonts w:ascii="Garamond" w:hAnsi="Garamond"/>
          <w:sz w:val="24"/>
          <w:szCs w:val="24"/>
        </w:rPr>
        <w:t>ust be taken for granted, in order for “hand” to mean what it does</w:t>
      </w:r>
      <w:r w:rsidR="000A6D04" w:rsidRPr="00FC4B3D">
        <w:rPr>
          <w:rFonts w:ascii="Garamond" w:hAnsi="Garamond"/>
          <w:sz w:val="24"/>
          <w:szCs w:val="24"/>
        </w:rPr>
        <w:t xml:space="preserve">. That is, supposing we had </w:t>
      </w:r>
      <w:proofErr w:type="spellStart"/>
      <w:r w:rsidR="000A6D04" w:rsidRPr="00FC4B3D">
        <w:rPr>
          <w:rFonts w:ascii="Garamond" w:hAnsi="Garamond"/>
          <w:sz w:val="24"/>
          <w:szCs w:val="24"/>
        </w:rPr>
        <w:t>ostensively</w:t>
      </w:r>
      <w:proofErr w:type="spellEnd"/>
      <w:r w:rsidR="000A6D04" w:rsidRPr="00FC4B3D">
        <w:rPr>
          <w:rFonts w:ascii="Garamond" w:hAnsi="Garamond"/>
          <w:sz w:val="24"/>
          <w:szCs w:val="24"/>
        </w:rPr>
        <w:t xml:space="preserve"> defined “hand” </w:t>
      </w:r>
      <w:r w:rsidRPr="00FC4B3D">
        <w:rPr>
          <w:rFonts w:ascii="Garamond" w:hAnsi="Garamond"/>
          <w:sz w:val="24"/>
          <w:szCs w:val="24"/>
        </w:rPr>
        <w:t xml:space="preserve">as </w:t>
      </w:r>
      <w:r w:rsidR="000A6D04" w:rsidRPr="00FC4B3D">
        <w:rPr>
          <w:rFonts w:ascii="Garamond" w:hAnsi="Garamond"/>
          <w:sz w:val="24"/>
          <w:szCs w:val="24"/>
        </w:rPr>
        <w:t xml:space="preserve">usual, </w:t>
      </w:r>
      <w:proofErr w:type="gramStart"/>
      <w:r w:rsidR="000A6D04" w:rsidRPr="00FC4B3D">
        <w:rPr>
          <w:rFonts w:ascii="Garamond" w:hAnsi="Garamond"/>
          <w:sz w:val="24"/>
          <w:szCs w:val="24"/>
        </w:rPr>
        <w:t>in order for</w:t>
      </w:r>
      <w:proofErr w:type="gramEnd"/>
      <w:r w:rsidR="000A6D04" w:rsidRPr="00FC4B3D">
        <w:rPr>
          <w:rFonts w:ascii="Garamond" w:hAnsi="Garamond"/>
          <w:sz w:val="24"/>
          <w:szCs w:val="24"/>
        </w:rPr>
        <w:t xml:space="preserve"> that word to have its ordinary meaning, its </w:t>
      </w:r>
      <w:r w:rsidR="001841DD" w:rsidRPr="00FC4B3D">
        <w:rPr>
          <w:rFonts w:ascii="Garamond" w:hAnsi="Garamond"/>
          <w:sz w:val="24"/>
          <w:szCs w:val="24"/>
        </w:rPr>
        <w:t xml:space="preserve">canonical </w:t>
      </w:r>
      <w:r w:rsidR="000A6D04" w:rsidRPr="00FC4B3D">
        <w:rPr>
          <w:rFonts w:ascii="Garamond" w:hAnsi="Garamond"/>
          <w:sz w:val="24"/>
          <w:szCs w:val="24"/>
        </w:rPr>
        <w:t>applications should be agreed upon. That is why, we, as speakers of English, cannot sensibly revoke into doubt the judgement “Here is my hand”, made in a Moore-like context.</w:t>
      </w:r>
      <w:r w:rsidR="00C7459B" w:rsidRPr="00FC4B3D">
        <w:rPr>
          <w:rFonts w:ascii="Garamond" w:hAnsi="Garamond"/>
          <w:sz w:val="24"/>
          <w:szCs w:val="24"/>
        </w:rPr>
        <w:t xml:space="preserve"> If we did, it would no longer be clear that by “hand” we mean hand or anything else at all.</w:t>
      </w:r>
    </w:p>
    <w:p w14:paraId="6889C00F" w14:textId="77777777" w:rsidR="00EC2081" w:rsidRPr="00FC4B3D" w:rsidRDefault="000A6D04" w:rsidP="000A6D04">
      <w:pPr>
        <w:spacing w:after="0" w:line="360" w:lineRule="auto"/>
        <w:ind w:firstLine="360"/>
        <w:jc w:val="both"/>
        <w:rPr>
          <w:rFonts w:ascii="Garamond" w:hAnsi="Garamond"/>
          <w:sz w:val="24"/>
          <w:szCs w:val="24"/>
        </w:rPr>
      </w:pPr>
      <w:r w:rsidRPr="00FC4B3D">
        <w:rPr>
          <w:rFonts w:ascii="Garamond" w:hAnsi="Garamond"/>
          <w:sz w:val="24"/>
          <w:szCs w:val="24"/>
        </w:rPr>
        <w:t xml:space="preserve">Hinges, that is, </w:t>
      </w:r>
      <w:r w:rsidR="00F60734" w:rsidRPr="00FC4B3D">
        <w:rPr>
          <w:rFonts w:ascii="Garamond" w:hAnsi="Garamond"/>
          <w:sz w:val="24"/>
          <w:szCs w:val="24"/>
        </w:rPr>
        <w:t>play a</w:t>
      </w:r>
      <w:r w:rsidR="00EC2081" w:rsidRPr="00FC4B3D">
        <w:rPr>
          <w:rFonts w:ascii="Garamond" w:hAnsi="Garamond"/>
          <w:sz w:val="24"/>
          <w:szCs w:val="24"/>
        </w:rPr>
        <w:t xml:space="preserve"> normative role, while also being judgments, </w:t>
      </w:r>
      <w:r w:rsidRPr="00FC4B3D">
        <w:rPr>
          <w:rFonts w:ascii="Garamond" w:hAnsi="Garamond"/>
          <w:sz w:val="24"/>
          <w:szCs w:val="24"/>
        </w:rPr>
        <w:t>since</w:t>
      </w:r>
      <w:r w:rsidR="00EC2081" w:rsidRPr="00FC4B3D">
        <w:rPr>
          <w:rFonts w:ascii="Garamond" w:hAnsi="Garamond"/>
          <w:sz w:val="24"/>
          <w:szCs w:val="24"/>
        </w:rPr>
        <w:t xml:space="preserve"> they constitutively contribute to the determination both of meaning and of what would count as, for instance, normal conditions of perception, evidence for or against historical or geological specific judgments, normal conditions of human functioning, etc. For if those judgments were given up, one could no longer count on one’s perception, memories, or on apparent testimonies regarding the age of the Earth, to acquire evidence which could, in its turn, </w:t>
      </w:r>
      <w:r w:rsidR="00EC2081" w:rsidRPr="00FC4B3D">
        <w:rPr>
          <w:rFonts w:ascii="Garamond" w:hAnsi="Garamond"/>
          <w:i/>
          <w:sz w:val="24"/>
          <w:szCs w:val="24"/>
        </w:rPr>
        <w:t>disprove</w:t>
      </w:r>
      <w:r w:rsidR="00EC2081" w:rsidRPr="00FC4B3D">
        <w:rPr>
          <w:rFonts w:ascii="Garamond" w:hAnsi="Garamond"/>
          <w:sz w:val="24"/>
          <w:szCs w:val="24"/>
        </w:rPr>
        <w:t xml:space="preserve"> those very propositions.</w:t>
      </w:r>
      <w:r w:rsidR="00F60734" w:rsidRPr="00FC4B3D">
        <w:rPr>
          <w:rStyle w:val="FootnoteReference"/>
          <w:rFonts w:ascii="Garamond" w:hAnsi="Garamond"/>
          <w:sz w:val="24"/>
          <w:szCs w:val="24"/>
        </w:rPr>
        <w:footnoteReference w:id="7"/>
      </w:r>
    </w:p>
    <w:p w14:paraId="0799DDDD" w14:textId="60F8F049" w:rsidR="00EC2081" w:rsidRPr="00FC4B3D" w:rsidRDefault="00EC2081" w:rsidP="000A6D04">
      <w:pPr>
        <w:spacing w:after="0" w:line="360" w:lineRule="auto"/>
        <w:ind w:firstLine="360"/>
        <w:jc w:val="both"/>
        <w:rPr>
          <w:rFonts w:ascii="Garamond" w:hAnsi="Garamond"/>
          <w:sz w:val="24"/>
          <w:szCs w:val="24"/>
        </w:rPr>
      </w:pPr>
      <w:r w:rsidRPr="00FC4B3D">
        <w:rPr>
          <w:rFonts w:ascii="Garamond" w:hAnsi="Garamond"/>
          <w:sz w:val="24"/>
          <w:szCs w:val="24"/>
        </w:rPr>
        <w:t xml:space="preserve">Finally, </w:t>
      </w:r>
      <w:r w:rsidR="000A6D04" w:rsidRPr="00FC4B3D">
        <w:rPr>
          <w:rFonts w:ascii="Garamond" w:hAnsi="Garamond"/>
          <w:sz w:val="24"/>
          <w:szCs w:val="24"/>
        </w:rPr>
        <w:t xml:space="preserve">for Wittgenstein, </w:t>
      </w:r>
      <w:r w:rsidRPr="00FC4B3D">
        <w:rPr>
          <w:rFonts w:ascii="Garamond" w:hAnsi="Garamond"/>
          <w:sz w:val="24"/>
          <w:szCs w:val="24"/>
        </w:rPr>
        <w:t>the way in which we acquire hinges depends on what we have been drilled and taught</w:t>
      </w:r>
      <w:r w:rsidR="00A33021" w:rsidRPr="00FC4B3D">
        <w:rPr>
          <w:rFonts w:ascii="Garamond" w:hAnsi="Garamond"/>
          <w:sz w:val="24"/>
          <w:szCs w:val="24"/>
        </w:rPr>
        <w:t xml:space="preserve"> to say (or think)</w:t>
      </w:r>
      <w:r w:rsidRPr="00FC4B3D">
        <w:rPr>
          <w:rFonts w:ascii="Garamond" w:hAnsi="Garamond"/>
          <w:sz w:val="24"/>
          <w:szCs w:val="24"/>
        </w:rPr>
        <w:t xml:space="preserve">, either implicitly or explicitly, in the process of acquiring language, and of learning to take part in our various epistemic practices. That is why “I </w:t>
      </w:r>
      <w:r w:rsidRPr="00FC4B3D">
        <w:rPr>
          <w:rFonts w:ascii="Garamond" w:hAnsi="Garamond"/>
          <w:i/>
          <w:sz w:val="24"/>
          <w:szCs w:val="24"/>
        </w:rPr>
        <w:t>k</w:t>
      </w:r>
      <w:r w:rsidRPr="00FC4B3D">
        <w:rPr>
          <w:rFonts w:ascii="Garamond" w:hAnsi="Garamond"/>
          <w:sz w:val="24"/>
          <w:szCs w:val="24"/>
        </w:rPr>
        <w:t xml:space="preserve">now”, in connection with them, can also be glossed as “I have been drilled /taught </w:t>
      </w:r>
      <w:r w:rsidR="00A33021" w:rsidRPr="00FC4B3D">
        <w:rPr>
          <w:rFonts w:ascii="Garamond" w:hAnsi="Garamond"/>
          <w:sz w:val="24"/>
          <w:szCs w:val="24"/>
        </w:rPr>
        <w:t xml:space="preserve">to say/think </w:t>
      </w:r>
      <w:r w:rsidRPr="00FC4B3D">
        <w:rPr>
          <w:rFonts w:ascii="Garamond" w:hAnsi="Garamond"/>
          <w:sz w:val="24"/>
          <w:szCs w:val="24"/>
        </w:rPr>
        <w:t>thus-and-so”. Such an explanation, however, plays a causal role and it isn’t an epistemic reason which could sustain a genuine claim to knowledge.</w:t>
      </w:r>
    </w:p>
    <w:p w14:paraId="34E115AB" w14:textId="77777777" w:rsidR="00EC2081" w:rsidRPr="00FC4B3D" w:rsidRDefault="00EC2081" w:rsidP="00591AAB">
      <w:pPr>
        <w:spacing w:after="0" w:line="360" w:lineRule="auto"/>
        <w:jc w:val="both"/>
        <w:rPr>
          <w:rFonts w:ascii="Garamond" w:hAnsi="Garamond"/>
          <w:sz w:val="24"/>
          <w:szCs w:val="24"/>
        </w:rPr>
      </w:pPr>
    </w:p>
    <w:p w14:paraId="3A09054E" w14:textId="5117BDE5" w:rsidR="00EC2081" w:rsidRPr="00FC4B3D" w:rsidRDefault="00EC2081" w:rsidP="00591AAB">
      <w:pPr>
        <w:pStyle w:val="ListParagraph"/>
        <w:numPr>
          <w:ilvl w:val="1"/>
          <w:numId w:val="1"/>
        </w:numPr>
        <w:spacing w:after="0" w:line="360" w:lineRule="auto"/>
        <w:jc w:val="both"/>
        <w:rPr>
          <w:rFonts w:ascii="Garamond" w:hAnsi="Garamond"/>
          <w:b/>
          <w:sz w:val="24"/>
          <w:szCs w:val="24"/>
        </w:rPr>
      </w:pPr>
      <w:r w:rsidRPr="00FC4B3D">
        <w:rPr>
          <w:rFonts w:ascii="Garamond" w:hAnsi="Garamond"/>
          <w:b/>
          <w:sz w:val="24"/>
          <w:szCs w:val="24"/>
        </w:rPr>
        <w:t xml:space="preserve">The </w:t>
      </w:r>
      <w:r w:rsidR="00A33021" w:rsidRPr="00FC4B3D">
        <w:rPr>
          <w:rFonts w:ascii="Garamond" w:hAnsi="Garamond"/>
          <w:b/>
          <w:sz w:val="24"/>
          <w:szCs w:val="24"/>
        </w:rPr>
        <w:t>‘</w:t>
      </w:r>
      <w:r w:rsidRPr="00FC4B3D">
        <w:rPr>
          <w:rFonts w:ascii="Garamond" w:hAnsi="Garamond"/>
          <w:b/>
          <w:sz w:val="24"/>
          <w:szCs w:val="24"/>
        </w:rPr>
        <w:t>philosophical</w:t>
      </w:r>
      <w:r w:rsidR="00A33021" w:rsidRPr="00FC4B3D">
        <w:rPr>
          <w:rFonts w:ascii="Garamond" w:hAnsi="Garamond"/>
          <w:b/>
          <w:sz w:val="24"/>
          <w:szCs w:val="24"/>
        </w:rPr>
        <w:t>’</w:t>
      </w:r>
      <w:r w:rsidRPr="00FC4B3D">
        <w:rPr>
          <w:rFonts w:ascii="Garamond" w:hAnsi="Garamond"/>
          <w:b/>
          <w:sz w:val="24"/>
          <w:szCs w:val="24"/>
        </w:rPr>
        <w:t xml:space="preserve"> use of “I know”</w:t>
      </w:r>
    </w:p>
    <w:p w14:paraId="071D666B" w14:textId="74562758" w:rsidR="00FB1227" w:rsidRPr="00FC4B3D" w:rsidRDefault="0092266C" w:rsidP="00591AAB">
      <w:pPr>
        <w:spacing w:line="360" w:lineRule="auto"/>
        <w:jc w:val="both"/>
        <w:rPr>
          <w:rFonts w:ascii="Garamond" w:hAnsi="Garamond"/>
          <w:sz w:val="24"/>
          <w:szCs w:val="24"/>
        </w:rPr>
      </w:pPr>
      <w:r w:rsidRPr="00FC4B3D">
        <w:rPr>
          <w:rFonts w:ascii="Garamond" w:hAnsi="Garamond"/>
          <w:sz w:val="24"/>
          <w:szCs w:val="24"/>
        </w:rPr>
        <w:t>I</w:t>
      </w:r>
      <w:r w:rsidR="00EC2081" w:rsidRPr="00FC4B3D">
        <w:rPr>
          <w:rFonts w:ascii="Garamond" w:hAnsi="Garamond"/>
          <w:sz w:val="24"/>
          <w:szCs w:val="24"/>
        </w:rPr>
        <w:t xml:space="preserve">n the </w:t>
      </w:r>
      <w:r w:rsidR="00A33021" w:rsidRPr="00FC4B3D">
        <w:rPr>
          <w:rFonts w:ascii="Garamond" w:hAnsi="Garamond"/>
          <w:sz w:val="24"/>
          <w:szCs w:val="24"/>
        </w:rPr>
        <w:t>‘</w:t>
      </w:r>
      <w:r w:rsidR="00EC2081" w:rsidRPr="00FC4B3D">
        <w:rPr>
          <w:rFonts w:ascii="Garamond" w:hAnsi="Garamond"/>
          <w:sz w:val="24"/>
          <w:szCs w:val="24"/>
        </w:rPr>
        <w:t>philosophical</w:t>
      </w:r>
      <w:r w:rsidR="00A33021" w:rsidRPr="00FC4B3D">
        <w:rPr>
          <w:rFonts w:ascii="Garamond" w:hAnsi="Garamond"/>
          <w:sz w:val="24"/>
          <w:szCs w:val="24"/>
        </w:rPr>
        <w:t>’</w:t>
      </w:r>
      <w:r w:rsidR="00EC2081" w:rsidRPr="00FC4B3D">
        <w:rPr>
          <w:rFonts w:ascii="Garamond" w:hAnsi="Garamond"/>
          <w:sz w:val="24"/>
          <w:szCs w:val="24"/>
        </w:rPr>
        <w:t xml:space="preserve"> use of “I know”, henceforth “I </w:t>
      </w:r>
      <w:r w:rsidR="00EC2081" w:rsidRPr="00FC4B3D">
        <w:rPr>
          <w:rFonts w:ascii="Garamond" w:hAnsi="Garamond"/>
          <w:sz w:val="24"/>
          <w:szCs w:val="24"/>
          <w:u w:val="single"/>
        </w:rPr>
        <w:t>k</w:t>
      </w:r>
      <w:r w:rsidR="00EC2081" w:rsidRPr="00FC4B3D">
        <w:rPr>
          <w:rFonts w:ascii="Garamond" w:hAnsi="Garamond"/>
          <w:sz w:val="24"/>
          <w:szCs w:val="24"/>
        </w:rPr>
        <w:t>now” with an underlined ‘</w:t>
      </w:r>
      <w:r w:rsidR="00EC2081" w:rsidRPr="00FC4B3D">
        <w:rPr>
          <w:rFonts w:ascii="Garamond" w:hAnsi="Garamond"/>
          <w:sz w:val="24"/>
          <w:szCs w:val="24"/>
          <w:u w:val="single"/>
        </w:rPr>
        <w:t>k</w:t>
      </w:r>
      <w:r w:rsidR="00EC2081" w:rsidRPr="00FC4B3D">
        <w:rPr>
          <w:rFonts w:ascii="Garamond" w:hAnsi="Garamond"/>
          <w:sz w:val="24"/>
          <w:szCs w:val="24"/>
        </w:rPr>
        <w:t>’, the grammatical function is conflated with the empirical one</w:t>
      </w:r>
      <w:r w:rsidR="00C7459B" w:rsidRPr="00FC4B3D">
        <w:rPr>
          <w:rFonts w:ascii="Garamond" w:hAnsi="Garamond"/>
          <w:sz w:val="24"/>
          <w:szCs w:val="24"/>
        </w:rPr>
        <w:t>, according to Wittgenstein</w:t>
      </w:r>
      <w:r w:rsidR="00EC2081" w:rsidRPr="00FC4B3D">
        <w:rPr>
          <w:rFonts w:ascii="Garamond" w:hAnsi="Garamond"/>
          <w:sz w:val="24"/>
          <w:szCs w:val="24"/>
        </w:rPr>
        <w:t xml:space="preserve">. Like “I Know”, “I </w:t>
      </w:r>
      <w:r w:rsidR="00EC2081" w:rsidRPr="00FC4B3D">
        <w:rPr>
          <w:rFonts w:ascii="Garamond" w:hAnsi="Garamond"/>
          <w:sz w:val="24"/>
          <w:szCs w:val="24"/>
          <w:u w:val="single"/>
        </w:rPr>
        <w:t>k</w:t>
      </w:r>
      <w:r w:rsidR="00EC2081" w:rsidRPr="00FC4B3D">
        <w:rPr>
          <w:rFonts w:ascii="Garamond" w:hAnsi="Garamond"/>
          <w:sz w:val="24"/>
          <w:szCs w:val="24"/>
        </w:rPr>
        <w:t>now” is taken to express the obtaining of an epistemic relationship between a subjec</w:t>
      </w:r>
      <w:r w:rsidR="000A6D04" w:rsidRPr="00FC4B3D">
        <w:rPr>
          <w:rFonts w:ascii="Garamond" w:hAnsi="Garamond"/>
          <w:sz w:val="24"/>
          <w:szCs w:val="24"/>
        </w:rPr>
        <w:t>t and a proposition or a fact. Yet, l</w:t>
      </w:r>
      <w:r w:rsidR="00EC2081" w:rsidRPr="00FC4B3D">
        <w:rPr>
          <w:rFonts w:ascii="Garamond" w:hAnsi="Garamond"/>
          <w:sz w:val="24"/>
          <w:szCs w:val="24"/>
        </w:rPr>
        <w:t xml:space="preserve">ike “I </w:t>
      </w:r>
      <w:r w:rsidR="00EC2081" w:rsidRPr="00FC4B3D">
        <w:rPr>
          <w:rFonts w:ascii="Garamond" w:hAnsi="Garamond"/>
          <w:i/>
          <w:sz w:val="24"/>
          <w:szCs w:val="24"/>
        </w:rPr>
        <w:t>k</w:t>
      </w:r>
      <w:r w:rsidR="00EC2081" w:rsidRPr="00FC4B3D">
        <w:rPr>
          <w:rFonts w:ascii="Garamond" w:hAnsi="Garamond"/>
          <w:sz w:val="24"/>
          <w:szCs w:val="24"/>
        </w:rPr>
        <w:t xml:space="preserve">now”, “I </w:t>
      </w:r>
      <w:r w:rsidR="00EC2081" w:rsidRPr="00FC4B3D">
        <w:rPr>
          <w:rFonts w:ascii="Garamond" w:hAnsi="Garamond"/>
          <w:sz w:val="24"/>
          <w:szCs w:val="24"/>
          <w:u w:val="single"/>
        </w:rPr>
        <w:t>k</w:t>
      </w:r>
      <w:r w:rsidR="00EC2081" w:rsidRPr="00FC4B3D">
        <w:rPr>
          <w:rFonts w:ascii="Garamond" w:hAnsi="Garamond"/>
          <w:sz w:val="24"/>
          <w:szCs w:val="24"/>
        </w:rPr>
        <w:t xml:space="preserve">now” is taken to be indubitable. That is, “I </w:t>
      </w:r>
      <w:r w:rsidR="00EC2081" w:rsidRPr="00FC4B3D">
        <w:rPr>
          <w:rFonts w:ascii="Garamond" w:hAnsi="Garamond"/>
          <w:sz w:val="24"/>
          <w:szCs w:val="24"/>
          <w:u w:val="single"/>
        </w:rPr>
        <w:t>k</w:t>
      </w:r>
      <w:r w:rsidR="00EC2081" w:rsidRPr="00FC4B3D">
        <w:rPr>
          <w:rFonts w:ascii="Garamond" w:hAnsi="Garamond"/>
          <w:sz w:val="24"/>
          <w:szCs w:val="24"/>
        </w:rPr>
        <w:t xml:space="preserve">now” straddles the </w:t>
      </w:r>
      <w:r w:rsidR="00F52C4B" w:rsidRPr="00FC4B3D">
        <w:rPr>
          <w:rFonts w:ascii="Garamond" w:hAnsi="Garamond"/>
          <w:sz w:val="24"/>
          <w:szCs w:val="24"/>
        </w:rPr>
        <w:t>ordinary</w:t>
      </w:r>
      <w:r w:rsidR="00EC2081" w:rsidRPr="00FC4B3D">
        <w:rPr>
          <w:rFonts w:ascii="Garamond" w:hAnsi="Garamond"/>
          <w:sz w:val="24"/>
          <w:szCs w:val="24"/>
        </w:rPr>
        <w:t xml:space="preserve"> and the grammatical use of “I know”, and it produces nonsense, for Wittgenstein, because no genuinely epistemic relation between a subject and a proposition </w:t>
      </w:r>
      <w:r w:rsidR="000A6D04" w:rsidRPr="00FC4B3D">
        <w:rPr>
          <w:rFonts w:ascii="Garamond" w:hAnsi="Garamond"/>
          <w:sz w:val="24"/>
          <w:szCs w:val="24"/>
        </w:rPr>
        <w:t xml:space="preserve">(or a fact) </w:t>
      </w:r>
      <w:r w:rsidR="00C7459B" w:rsidRPr="00FC4B3D">
        <w:rPr>
          <w:rFonts w:ascii="Garamond" w:hAnsi="Garamond"/>
          <w:sz w:val="24"/>
          <w:szCs w:val="24"/>
        </w:rPr>
        <w:t xml:space="preserve">is </w:t>
      </w:r>
      <w:proofErr w:type="gramStart"/>
      <w:r w:rsidR="00C7459B" w:rsidRPr="00FC4B3D">
        <w:rPr>
          <w:rFonts w:ascii="Garamond" w:hAnsi="Garamond"/>
          <w:sz w:val="24"/>
          <w:szCs w:val="24"/>
        </w:rPr>
        <w:t>sure-fired</w:t>
      </w:r>
      <w:proofErr w:type="gramEnd"/>
      <w:r w:rsidR="00C7459B" w:rsidRPr="00FC4B3D">
        <w:rPr>
          <w:rFonts w:ascii="Garamond" w:hAnsi="Garamond"/>
          <w:sz w:val="24"/>
          <w:szCs w:val="24"/>
        </w:rPr>
        <w:t>, for him.</w:t>
      </w:r>
      <w:r w:rsidR="00EC2081" w:rsidRPr="00FC4B3D">
        <w:rPr>
          <w:rFonts w:ascii="Garamond" w:hAnsi="Garamond"/>
          <w:sz w:val="24"/>
          <w:szCs w:val="24"/>
        </w:rPr>
        <w:t xml:space="preserve"> Thus, when a philosopher like Moore </w:t>
      </w:r>
      <w:proofErr w:type="gramStart"/>
      <w:r w:rsidR="00EC2081" w:rsidRPr="00FC4B3D">
        <w:rPr>
          <w:rFonts w:ascii="Garamond" w:hAnsi="Garamond"/>
          <w:sz w:val="24"/>
          <w:szCs w:val="24"/>
        </w:rPr>
        <w:t>says</w:t>
      </w:r>
      <w:proofErr w:type="gramEnd"/>
      <w:r w:rsidR="00EC2081" w:rsidRPr="00FC4B3D">
        <w:rPr>
          <w:rFonts w:ascii="Garamond" w:hAnsi="Garamond"/>
          <w:sz w:val="24"/>
          <w:szCs w:val="24"/>
        </w:rPr>
        <w:t xml:space="preserve"> “I know here is my hand”, he is using “I know”’ in its </w:t>
      </w:r>
      <w:r w:rsidR="00A33021" w:rsidRPr="00FC4B3D">
        <w:rPr>
          <w:rFonts w:ascii="Garamond" w:hAnsi="Garamond"/>
          <w:sz w:val="24"/>
          <w:szCs w:val="24"/>
        </w:rPr>
        <w:t>‘</w:t>
      </w:r>
      <w:r w:rsidR="000A6D04" w:rsidRPr="00FC4B3D">
        <w:rPr>
          <w:rFonts w:ascii="Garamond" w:hAnsi="Garamond"/>
          <w:sz w:val="24"/>
          <w:szCs w:val="24"/>
        </w:rPr>
        <w:t>philosophical</w:t>
      </w:r>
      <w:r w:rsidR="00A33021" w:rsidRPr="00FC4B3D">
        <w:rPr>
          <w:rFonts w:ascii="Garamond" w:hAnsi="Garamond"/>
          <w:sz w:val="24"/>
          <w:szCs w:val="24"/>
        </w:rPr>
        <w:t>’</w:t>
      </w:r>
      <w:r w:rsidR="00EC2081" w:rsidRPr="00FC4B3D">
        <w:rPr>
          <w:rFonts w:ascii="Garamond" w:hAnsi="Garamond"/>
          <w:sz w:val="24"/>
          <w:szCs w:val="24"/>
        </w:rPr>
        <w:t xml:space="preserve"> sense and is actually producing nonsense. </w:t>
      </w:r>
      <w:r w:rsidR="000A6D04" w:rsidRPr="00FC4B3D">
        <w:rPr>
          <w:rFonts w:ascii="Garamond" w:hAnsi="Garamond"/>
          <w:sz w:val="24"/>
          <w:szCs w:val="24"/>
        </w:rPr>
        <w:t xml:space="preserve">This is not typically evident to philosophers, who, on the contrary, work on the assumption of semantic uniformity. That is, philosophers typically do not notice the difference between “I Know”, “I </w:t>
      </w:r>
      <w:r w:rsidR="000A6D04" w:rsidRPr="00FC4B3D">
        <w:rPr>
          <w:rFonts w:ascii="Garamond" w:hAnsi="Garamond"/>
          <w:i/>
          <w:sz w:val="24"/>
          <w:szCs w:val="24"/>
        </w:rPr>
        <w:t>k</w:t>
      </w:r>
      <w:r w:rsidR="000A6D04" w:rsidRPr="00FC4B3D">
        <w:rPr>
          <w:rFonts w:ascii="Garamond" w:hAnsi="Garamond"/>
          <w:sz w:val="24"/>
          <w:szCs w:val="24"/>
        </w:rPr>
        <w:t xml:space="preserve">now” and “I </w:t>
      </w:r>
      <w:r w:rsidR="000A6D04" w:rsidRPr="00FC4B3D">
        <w:rPr>
          <w:rFonts w:ascii="Garamond" w:hAnsi="Garamond"/>
          <w:sz w:val="24"/>
          <w:szCs w:val="24"/>
          <w:u w:val="single"/>
        </w:rPr>
        <w:t>k</w:t>
      </w:r>
      <w:r w:rsidR="000A6D04" w:rsidRPr="00FC4B3D">
        <w:rPr>
          <w:rFonts w:ascii="Garamond" w:hAnsi="Garamond"/>
          <w:sz w:val="24"/>
          <w:szCs w:val="24"/>
        </w:rPr>
        <w:t xml:space="preserve">now”. Since they do not notice the difference, they are then confronted with the false problem of having to explain </w:t>
      </w:r>
      <w:r w:rsidR="00F52C4B" w:rsidRPr="00FC4B3D">
        <w:rPr>
          <w:rFonts w:ascii="Garamond" w:hAnsi="Garamond"/>
          <w:sz w:val="24"/>
          <w:szCs w:val="24"/>
        </w:rPr>
        <w:t>why</w:t>
      </w:r>
      <w:r w:rsidR="000A6D04" w:rsidRPr="00FC4B3D">
        <w:rPr>
          <w:rFonts w:ascii="Garamond" w:hAnsi="Garamond"/>
          <w:sz w:val="24"/>
          <w:szCs w:val="24"/>
        </w:rPr>
        <w:t xml:space="preserve"> one cannot </w:t>
      </w:r>
      <w:r w:rsidR="005A72E0" w:rsidRPr="00FC4B3D">
        <w:rPr>
          <w:rFonts w:ascii="Garamond" w:hAnsi="Garamond"/>
          <w:sz w:val="24"/>
          <w:szCs w:val="24"/>
        </w:rPr>
        <w:t xml:space="preserve">go wrong epistemically speaking with respect to, for </w:t>
      </w:r>
      <w:r w:rsidR="005A72E0" w:rsidRPr="00FC4B3D">
        <w:rPr>
          <w:rFonts w:ascii="Garamond" w:hAnsi="Garamond"/>
          <w:sz w:val="24"/>
          <w:szCs w:val="24"/>
        </w:rPr>
        <w:lastRenderedPageBreak/>
        <w:t>instance, there being one’s hand here. Since, in ordinary contexts that is certainly possible (in non-Moore like situations), the skeptical thought that we might be wrong anyway, even now that we are seeing our hand in optimal environmental and cognitive conditions, becomes salient. Yet, for Wittgenstein, that doubt too would be nonsensical, since it would straddle contexts. That is, it would depend on noticing that since in some contexts we might have gone wrong in our judgement “Here is my hand”, for instance after a car accident, we could be wrong even now, when in fact we are not in that kind of context.</w:t>
      </w:r>
      <w:r w:rsidR="005A72E0" w:rsidRPr="00FC4B3D">
        <w:rPr>
          <w:rStyle w:val="FootnoteReference"/>
          <w:rFonts w:ascii="Garamond" w:hAnsi="Garamond"/>
          <w:sz w:val="24"/>
          <w:szCs w:val="24"/>
        </w:rPr>
        <w:footnoteReference w:id="8"/>
      </w:r>
      <w:r w:rsidR="005A72E0" w:rsidRPr="00FC4B3D">
        <w:rPr>
          <w:rFonts w:ascii="Garamond" w:hAnsi="Garamond"/>
          <w:sz w:val="24"/>
          <w:szCs w:val="24"/>
        </w:rPr>
        <w:t xml:space="preserve"> </w:t>
      </w:r>
    </w:p>
    <w:p w14:paraId="0DEECBA0" w14:textId="49271914" w:rsidR="00FB1227" w:rsidRPr="00FC4B3D" w:rsidRDefault="005A72E0" w:rsidP="00FB1227">
      <w:pPr>
        <w:spacing w:line="360" w:lineRule="auto"/>
        <w:ind w:firstLine="720"/>
        <w:jc w:val="both"/>
        <w:rPr>
          <w:rFonts w:ascii="Garamond" w:hAnsi="Garamond"/>
          <w:sz w:val="24"/>
          <w:szCs w:val="24"/>
        </w:rPr>
      </w:pPr>
      <w:r w:rsidRPr="00FC4B3D">
        <w:rPr>
          <w:rFonts w:ascii="Garamond" w:hAnsi="Garamond"/>
          <w:sz w:val="24"/>
          <w:szCs w:val="24"/>
        </w:rPr>
        <w:t>Another way of putting the same point is to say that philosophers tend to project the meaning of “I Know”, to other uses of “I know”, which do not conform to those criteria</w:t>
      </w:r>
      <w:r w:rsidR="00F52C4B" w:rsidRPr="00FC4B3D">
        <w:rPr>
          <w:rFonts w:ascii="Garamond" w:hAnsi="Garamond"/>
          <w:sz w:val="24"/>
          <w:szCs w:val="24"/>
        </w:rPr>
        <w:t>.</w:t>
      </w:r>
      <w:r w:rsidRPr="00FC4B3D">
        <w:rPr>
          <w:rFonts w:ascii="Garamond" w:hAnsi="Garamond"/>
          <w:sz w:val="24"/>
          <w:szCs w:val="24"/>
        </w:rPr>
        <w:t xml:space="preserve"> </w:t>
      </w:r>
      <w:r w:rsidR="00F52C4B" w:rsidRPr="00FC4B3D">
        <w:rPr>
          <w:rFonts w:ascii="Garamond" w:hAnsi="Garamond"/>
          <w:sz w:val="24"/>
          <w:szCs w:val="24"/>
        </w:rPr>
        <w:t xml:space="preserve">By </w:t>
      </w:r>
      <w:r w:rsidR="00A33021" w:rsidRPr="00FC4B3D">
        <w:rPr>
          <w:rFonts w:ascii="Garamond" w:hAnsi="Garamond"/>
          <w:sz w:val="24"/>
          <w:szCs w:val="24"/>
        </w:rPr>
        <w:t>running together</w:t>
      </w:r>
      <w:r w:rsidR="00F52C4B" w:rsidRPr="00FC4B3D">
        <w:rPr>
          <w:rFonts w:ascii="Garamond" w:hAnsi="Garamond"/>
          <w:sz w:val="24"/>
          <w:szCs w:val="24"/>
        </w:rPr>
        <w:t xml:space="preserve"> contexts and criteria of use</w:t>
      </w:r>
      <w:r w:rsidRPr="00FC4B3D">
        <w:rPr>
          <w:rFonts w:ascii="Garamond" w:hAnsi="Garamond"/>
          <w:sz w:val="24"/>
          <w:szCs w:val="24"/>
        </w:rPr>
        <w:t>, they are in the grip of the illusion of producing sense and of being confronted with genuine</w:t>
      </w:r>
      <w:r w:rsidR="00A33021" w:rsidRPr="00FC4B3D">
        <w:rPr>
          <w:rFonts w:ascii="Garamond" w:hAnsi="Garamond"/>
          <w:sz w:val="24"/>
          <w:szCs w:val="24"/>
        </w:rPr>
        <w:t>ly</w:t>
      </w:r>
      <w:r w:rsidRPr="00FC4B3D">
        <w:rPr>
          <w:rFonts w:ascii="Garamond" w:hAnsi="Garamond"/>
          <w:sz w:val="24"/>
          <w:szCs w:val="24"/>
        </w:rPr>
        <w:t xml:space="preserve"> philosophical problems, when in fact they have just been deluded into the appearance of a problem brought about by a conceptual confusion</w:t>
      </w:r>
      <w:r w:rsidR="00F52C4B" w:rsidRPr="00FC4B3D">
        <w:rPr>
          <w:rFonts w:ascii="Garamond" w:hAnsi="Garamond"/>
          <w:sz w:val="24"/>
          <w:szCs w:val="24"/>
        </w:rPr>
        <w:t>,</w:t>
      </w:r>
      <w:r w:rsidRPr="00FC4B3D">
        <w:rPr>
          <w:rFonts w:ascii="Garamond" w:hAnsi="Garamond"/>
          <w:sz w:val="24"/>
          <w:szCs w:val="24"/>
        </w:rPr>
        <w:t xml:space="preserve"> which ultimately resides in not seeing clearly the functioning of our language.</w:t>
      </w:r>
    </w:p>
    <w:p w14:paraId="1D0667CF" w14:textId="77777777" w:rsidR="00EC2081" w:rsidRPr="00FC4B3D" w:rsidRDefault="005A72E0" w:rsidP="00FB1227">
      <w:pPr>
        <w:spacing w:line="360" w:lineRule="auto"/>
        <w:ind w:firstLine="720"/>
        <w:jc w:val="both"/>
        <w:rPr>
          <w:rFonts w:ascii="Garamond" w:hAnsi="Garamond"/>
          <w:sz w:val="24"/>
          <w:szCs w:val="24"/>
        </w:rPr>
      </w:pPr>
      <w:r w:rsidRPr="00FC4B3D">
        <w:rPr>
          <w:rFonts w:ascii="Garamond" w:hAnsi="Garamond"/>
          <w:sz w:val="24"/>
          <w:szCs w:val="24"/>
        </w:rPr>
        <w:t>This kind of typically philosophical attitude needs therapy</w:t>
      </w:r>
      <w:r w:rsidR="000A6D04" w:rsidRPr="00FC4B3D">
        <w:rPr>
          <w:rFonts w:ascii="Garamond" w:hAnsi="Garamond"/>
          <w:sz w:val="24"/>
          <w:szCs w:val="24"/>
        </w:rPr>
        <w:t>, according to Wittgenstein,</w:t>
      </w:r>
      <w:r w:rsidR="00EC2081" w:rsidRPr="00FC4B3D">
        <w:rPr>
          <w:rFonts w:ascii="Garamond" w:hAnsi="Garamond"/>
          <w:sz w:val="24"/>
          <w:szCs w:val="24"/>
        </w:rPr>
        <w:t xml:space="preserve"> but the therapy does not consist in condoning the use of “I know” in that connection</w:t>
      </w:r>
      <w:r w:rsidR="00F57493" w:rsidRPr="00FC4B3D">
        <w:rPr>
          <w:rFonts w:ascii="Garamond" w:hAnsi="Garamond"/>
          <w:sz w:val="24"/>
          <w:szCs w:val="24"/>
        </w:rPr>
        <w:t xml:space="preserve"> – e.g. “I know there is my hand here” (in a Moore-like context)</w:t>
      </w:r>
      <w:r w:rsidR="00EC2081" w:rsidRPr="00FC4B3D">
        <w:rPr>
          <w:rFonts w:ascii="Garamond" w:hAnsi="Garamond"/>
          <w:sz w:val="24"/>
          <w:szCs w:val="24"/>
        </w:rPr>
        <w:t xml:space="preserve">, while simply adding the proviso </w:t>
      </w:r>
      <w:r w:rsidR="00F57493" w:rsidRPr="00FC4B3D">
        <w:rPr>
          <w:rFonts w:ascii="Garamond" w:hAnsi="Garamond"/>
          <w:sz w:val="24"/>
          <w:szCs w:val="24"/>
        </w:rPr>
        <w:t>that one does not mean</w:t>
      </w:r>
      <w:r w:rsidR="00EC2081" w:rsidRPr="00FC4B3D">
        <w:rPr>
          <w:rFonts w:ascii="Garamond" w:hAnsi="Garamond"/>
          <w:sz w:val="24"/>
          <w:szCs w:val="24"/>
        </w:rPr>
        <w:t xml:space="preserve"> to </w:t>
      </w:r>
      <w:r w:rsidR="00F57493" w:rsidRPr="00FC4B3D">
        <w:rPr>
          <w:rFonts w:ascii="Garamond" w:hAnsi="Garamond"/>
          <w:sz w:val="24"/>
          <w:szCs w:val="24"/>
        </w:rPr>
        <w:t xml:space="preserve">be </w:t>
      </w:r>
      <w:r w:rsidR="00EC2081" w:rsidRPr="00FC4B3D">
        <w:rPr>
          <w:rFonts w:ascii="Garamond" w:hAnsi="Garamond"/>
          <w:sz w:val="24"/>
          <w:szCs w:val="24"/>
        </w:rPr>
        <w:t>do</w:t>
      </w:r>
      <w:r w:rsidR="00F57493" w:rsidRPr="00FC4B3D">
        <w:rPr>
          <w:rFonts w:ascii="Garamond" w:hAnsi="Garamond"/>
          <w:sz w:val="24"/>
          <w:szCs w:val="24"/>
        </w:rPr>
        <w:t>ing</w:t>
      </w:r>
      <w:r w:rsidR="00EC2081" w:rsidRPr="00FC4B3D">
        <w:rPr>
          <w:rFonts w:ascii="Garamond" w:hAnsi="Garamond"/>
          <w:sz w:val="24"/>
          <w:szCs w:val="24"/>
        </w:rPr>
        <w:t xml:space="preserve"> any philosophy by speaking that way.</w:t>
      </w:r>
      <w:r w:rsidRPr="00FC4B3D">
        <w:rPr>
          <w:rStyle w:val="FootnoteReference"/>
          <w:rFonts w:ascii="Garamond" w:hAnsi="Garamond"/>
          <w:sz w:val="24"/>
          <w:szCs w:val="24"/>
        </w:rPr>
        <w:footnoteReference w:id="9"/>
      </w:r>
      <w:r w:rsidR="00EC2081" w:rsidRPr="00FC4B3D">
        <w:rPr>
          <w:rFonts w:ascii="Garamond" w:hAnsi="Garamond"/>
          <w:sz w:val="24"/>
          <w:szCs w:val="24"/>
        </w:rPr>
        <w:t xml:space="preserve"> Rather, the therapy consists in unrave</w:t>
      </w:r>
      <w:r w:rsidR="00F57493" w:rsidRPr="00FC4B3D">
        <w:rPr>
          <w:rFonts w:ascii="Garamond" w:hAnsi="Garamond"/>
          <w:sz w:val="24"/>
          <w:szCs w:val="24"/>
        </w:rPr>
        <w:t xml:space="preserve">ling a particular way in which </w:t>
      </w:r>
      <w:r w:rsidR="00EC2081" w:rsidRPr="00FC4B3D">
        <w:rPr>
          <w:rFonts w:ascii="Garamond" w:hAnsi="Garamond"/>
          <w:sz w:val="24"/>
          <w:szCs w:val="24"/>
        </w:rPr>
        <w:t xml:space="preserve">“I know” is </w:t>
      </w:r>
      <w:r w:rsidR="00F57493" w:rsidRPr="00FC4B3D">
        <w:rPr>
          <w:rFonts w:ascii="Garamond" w:hAnsi="Garamond"/>
          <w:sz w:val="24"/>
          <w:szCs w:val="24"/>
        </w:rPr>
        <w:t xml:space="preserve">sometimes </w:t>
      </w:r>
      <w:r w:rsidR="00EC2081" w:rsidRPr="00FC4B3D">
        <w:rPr>
          <w:rFonts w:ascii="Garamond" w:hAnsi="Garamond"/>
          <w:sz w:val="24"/>
          <w:szCs w:val="24"/>
        </w:rPr>
        <w:t xml:space="preserve">used—that is, to express the impossibility of a doubt (“I </w:t>
      </w:r>
      <w:r w:rsidR="00EC2081" w:rsidRPr="00FC4B3D">
        <w:rPr>
          <w:rFonts w:ascii="Garamond" w:hAnsi="Garamond"/>
          <w:i/>
          <w:sz w:val="24"/>
          <w:szCs w:val="24"/>
        </w:rPr>
        <w:t>k</w:t>
      </w:r>
      <w:r w:rsidR="00EC2081" w:rsidRPr="00FC4B3D">
        <w:rPr>
          <w:rFonts w:ascii="Garamond" w:hAnsi="Garamond"/>
          <w:sz w:val="24"/>
          <w:szCs w:val="24"/>
        </w:rPr>
        <w:t>now”)—, and by providing a philosophical account of why, in such a case, a doubt and a mistake are impossible. To repeat: not because we are in a privileged epistemic position, but because of the role those propositions play, at least in context, for all of us.</w:t>
      </w:r>
      <w:r w:rsidR="00F52C4B" w:rsidRPr="00FC4B3D">
        <w:rPr>
          <w:rStyle w:val="FootnoteReference"/>
          <w:rFonts w:ascii="Garamond" w:hAnsi="Garamond"/>
          <w:sz w:val="24"/>
          <w:szCs w:val="24"/>
        </w:rPr>
        <w:footnoteReference w:id="10"/>
      </w:r>
      <w:r w:rsidR="00EC2081" w:rsidRPr="00FC4B3D">
        <w:rPr>
          <w:rFonts w:ascii="Garamond" w:hAnsi="Garamond"/>
          <w:sz w:val="24"/>
          <w:szCs w:val="24"/>
        </w:rPr>
        <w:t xml:space="preserve"> </w:t>
      </w:r>
    </w:p>
    <w:p w14:paraId="19C929E6" w14:textId="77777777" w:rsidR="00EC2081" w:rsidRPr="00FC4B3D" w:rsidRDefault="00EC2081" w:rsidP="005405FD">
      <w:pPr>
        <w:spacing w:line="360" w:lineRule="auto"/>
        <w:ind w:firstLine="720"/>
        <w:jc w:val="both"/>
        <w:rPr>
          <w:rFonts w:ascii="Garamond" w:hAnsi="Garamond"/>
          <w:sz w:val="24"/>
          <w:szCs w:val="24"/>
        </w:rPr>
      </w:pPr>
      <w:r w:rsidRPr="00FC4B3D">
        <w:rPr>
          <w:rFonts w:ascii="Garamond" w:hAnsi="Garamond"/>
          <w:sz w:val="24"/>
          <w:szCs w:val="24"/>
        </w:rPr>
        <w:t>Thus, according to Wittgenstein, the solution of many philosophical puzzles or paradoxes, including skepticism about the external world, about other minds, and the possibility</w:t>
      </w:r>
      <w:r w:rsidR="00F52C4B" w:rsidRPr="00FC4B3D">
        <w:rPr>
          <w:rFonts w:ascii="Garamond" w:hAnsi="Garamond"/>
          <w:sz w:val="24"/>
          <w:szCs w:val="24"/>
        </w:rPr>
        <w:t xml:space="preserve"> of privileged self-knowledge, </w:t>
      </w:r>
      <w:r w:rsidRPr="00FC4B3D">
        <w:rPr>
          <w:rFonts w:ascii="Garamond" w:hAnsi="Garamond"/>
          <w:sz w:val="24"/>
          <w:szCs w:val="24"/>
        </w:rPr>
        <w:t xml:space="preserve">depends on developing a peculiar “philosophical” ear, which </w:t>
      </w:r>
      <w:proofErr w:type="gramStart"/>
      <w:r w:rsidRPr="00FC4B3D">
        <w:rPr>
          <w:rFonts w:ascii="Garamond" w:hAnsi="Garamond"/>
          <w:sz w:val="24"/>
          <w:szCs w:val="24"/>
        </w:rPr>
        <w:t>is capable of sensing</w:t>
      </w:r>
      <w:proofErr w:type="gramEnd"/>
      <w:r w:rsidRPr="00FC4B3D">
        <w:rPr>
          <w:rFonts w:ascii="Garamond" w:hAnsi="Garamond"/>
          <w:sz w:val="24"/>
          <w:szCs w:val="24"/>
        </w:rPr>
        <w:t xml:space="preserve"> the wrong </w:t>
      </w:r>
      <w:r w:rsidRPr="00FC4B3D">
        <w:rPr>
          <w:rFonts w:ascii="Garamond" w:hAnsi="Garamond"/>
          <w:sz w:val="24"/>
          <w:szCs w:val="24"/>
        </w:rPr>
        <w:lastRenderedPageBreak/>
        <w:t xml:space="preserve">note struck by the traditional philosopher. Furthermore, it requires a kind of “absolute ear” capable of noticing the differences between </w:t>
      </w:r>
      <w:r w:rsidR="00F57493" w:rsidRPr="00FC4B3D">
        <w:rPr>
          <w:rFonts w:ascii="Garamond" w:hAnsi="Garamond"/>
          <w:sz w:val="24"/>
          <w:szCs w:val="24"/>
        </w:rPr>
        <w:t>various</w:t>
      </w:r>
      <w:r w:rsidRPr="00FC4B3D">
        <w:rPr>
          <w:rFonts w:ascii="Garamond" w:hAnsi="Garamond"/>
          <w:sz w:val="24"/>
          <w:szCs w:val="24"/>
        </w:rPr>
        <w:t xml:space="preserve"> uses of “I know”. Indeed, Wittgenstein thought of “I’ll teach you differences” from Shakespeare’s </w:t>
      </w:r>
      <w:r w:rsidRPr="00FC4B3D">
        <w:rPr>
          <w:rFonts w:ascii="Garamond" w:hAnsi="Garamond"/>
          <w:i/>
          <w:sz w:val="24"/>
          <w:szCs w:val="24"/>
        </w:rPr>
        <w:t>King Lear</w:t>
      </w:r>
      <w:r w:rsidRPr="00FC4B3D">
        <w:rPr>
          <w:rFonts w:ascii="Garamond" w:hAnsi="Garamond"/>
          <w:sz w:val="24"/>
          <w:szCs w:val="24"/>
        </w:rPr>
        <w:t xml:space="preserve">, as a possible motto for the </w:t>
      </w:r>
      <w:r w:rsidRPr="00FC4B3D">
        <w:rPr>
          <w:rFonts w:ascii="Garamond" w:hAnsi="Garamond"/>
          <w:i/>
          <w:sz w:val="24"/>
          <w:szCs w:val="24"/>
        </w:rPr>
        <w:t>Philosophical Investigations</w:t>
      </w:r>
      <w:r w:rsidRPr="00FC4B3D">
        <w:rPr>
          <w:rFonts w:ascii="Garamond" w:hAnsi="Garamond"/>
          <w:sz w:val="24"/>
          <w:szCs w:val="24"/>
        </w:rPr>
        <w:t>.</w:t>
      </w:r>
      <w:r w:rsidR="0092266C" w:rsidRPr="00FC4B3D">
        <w:rPr>
          <w:rFonts w:ascii="Garamond" w:hAnsi="Garamond"/>
          <w:sz w:val="24"/>
          <w:szCs w:val="24"/>
        </w:rPr>
        <w:t xml:space="preserve"> </w:t>
      </w:r>
      <w:r w:rsidRPr="00FC4B3D">
        <w:rPr>
          <w:rFonts w:ascii="Garamond" w:hAnsi="Garamond"/>
          <w:sz w:val="24"/>
          <w:szCs w:val="24"/>
        </w:rPr>
        <w:t>The differences he was alluding to were those that conceal themselves under identical words and expressions (“I know”, “is”, and many more, (cf. PI I, 116)). But you will also need to provide an explanation—in the sense of an elucidation, if you will—, which does not fall into the same traps as the ones offered by traditional philosophers, as to why, in our leading example</w:t>
      </w:r>
      <w:r w:rsidR="00F57493" w:rsidRPr="00FC4B3D">
        <w:rPr>
          <w:rFonts w:ascii="Garamond" w:hAnsi="Garamond"/>
          <w:sz w:val="24"/>
          <w:szCs w:val="24"/>
        </w:rPr>
        <w:t xml:space="preserve"> – “I know there is my hand here” –</w:t>
      </w:r>
      <w:r w:rsidRPr="00FC4B3D">
        <w:rPr>
          <w:rFonts w:ascii="Garamond" w:hAnsi="Garamond"/>
          <w:sz w:val="24"/>
          <w:szCs w:val="24"/>
        </w:rPr>
        <w:t xml:space="preserve">, a doubt or a mistake are impossible. </w:t>
      </w:r>
    </w:p>
    <w:p w14:paraId="55590AC9" w14:textId="7BF9F811" w:rsidR="00FB1227" w:rsidRPr="00FC4B3D" w:rsidRDefault="00F52C4B" w:rsidP="005405FD">
      <w:pPr>
        <w:spacing w:line="360" w:lineRule="auto"/>
        <w:ind w:firstLine="360"/>
        <w:jc w:val="both"/>
        <w:rPr>
          <w:rFonts w:ascii="Garamond" w:hAnsi="Garamond"/>
          <w:sz w:val="24"/>
          <w:szCs w:val="24"/>
        </w:rPr>
      </w:pPr>
      <w:r w:rsidRPr="00FC4B3D">
        <w:rPr>
          <w:rFonts w:ascii="Garamond" w:hAnsi="Garamond" w:cs="Times New Roman"/>
          <w:sz w:val="24"/>
          <w:szCs w:val="24"/>
        </w:rPr>
        <w:t>To conclude, a</w:t>
      </w:r>
      <w:r w:rsidR="00FB1227" w:rsidRPr="00FC4B3D">
        <w:rPr>
          <w:rFonts w:ascii="Garamond" w:hAnsi="Garamond"/>
          <w:sz w:val="24"/>
          <w:szCs w:val="24"/>
        </w:rPr>
        <w:t xml:space="preserve">s is apparent, Wittgenstein’s contextualism is radical for at least the following reasons. First, because it attributes different meanings (or indeed a lack of meaning) to different uses of “I know”. Thus it differs from contemporary forms of contextualism, where only the </w:t>
      </w:r>
      <w:r w:rsidRPr="00FC4B3D">
        <w:rPr>
          <w:rFonts w:ascii="Garamond" w:hAnsi="Garamond"/>
          <w:sz w:val="24"/>
          <w:szCs w:val="24"/>
        </w:rPr>
        <w:t>ordinary</w:t>
      </w:r>
      <w:r w:rsidR="00FB1227" w:rsidRPr="00FC4B3D">
        <w:rPr>
          <w:rFonts w:ascii="Garamond" w:hAnsi="Garamond"/>
          <w:sz w:val="24"/>
          <w:szCs w:val="24"/>
        </w:rPr>
        <w:t xml:space="preserve"> use of “I Know” is recognized and a difference in standards is supposed to affect merely the semantic evaluation of occurrences of “I Know”</w:t>
      </w:r>
      <w:r w:rsidRPr="00FC4B3D">
        <w:rPr>
          <w:rFonts w:ascii="Garamond" w:hAnsi="Garamond"/>
          <w:sz w:val="24"/>
          <w:szCs w:val="24"/>
        </w:rPr>
        <w:t xml:space="preserve"> or of “S </w:t>
      </w:r>
      <w:r w:rsidR="00A33021" w:rsidRPr="00FC4B3D">
        <w:rPr>
          <w:rFonts w:ascii="Garamond" w:hAnsi="Garamond"/>
          <w:sz w:val="24"/>
          <w:szCs w:val="24"/>
        </w:rPr>
        <w:t>K</w:t>
      </w:r>
      <w:r w:rsidRPr="00FC4B3D">
        <w:rPr>
          <w:rFonts w:ascii="Garamond" w:hAnsi="Garamond"/>
          <w:sz w:val="24"/>
          <w:szCs w:val="24"/>
        </w:rPr>
        <w:t>nows”</w:t>
      </w:r>
      <w:r w:rsidR="00FB1227" w:rsidRPr="00FC4B3D">
        <w:rPr>
          <w:rFonts w:ascii="Garamond" w:hAnsi="Garamond"/>
          <w:sz w:val="24"/>
          <w:szCs w:val="24"/>
        </w:rPr>
        <w:t xml:space="preserve"> in different contexts (of use or of assessment, depending on the form of contextualism at issue).</w:t>
      </w:r>
      <w:r w:rsidR="00F57493" w:rsidRPr="00FC4B3D">
        <w:rPr>
          <w:rStyle w:val="FootnoteReference"/>
          <w:rFonts w:ascii="Garamond" w:hAnsi="Garamond"/>
          <w:sz w:val="24"/>
          <w:szCs w:val="24"/>
        </w:rPr>
        <w:footnoteReference w:id="11"/>
      </w:r>
      <w:r w:rsidR="00FB1227" w:rsidRPr="00FC4B3D">
        <w:rPr>
          <w:rFonts w:ascii="Garamond" w:hAnsi="Garamond"/>
          <w:sz w:val="24"/>
          <w:szCs w:val="24"/>
        </w:rPr>
        <w:t xml:space="preserve"> Second, because his contextualism is meant to show that skepticism is actually nonsensical, rather than a genuine context with standards for knowledge that are impossible for us to satisfy.</w:t>
      </w:r>
    </w:p>
    <w:p w14:paraId="53FF9DA1" w14:textId="77777777" w:rsidR="00E540D6" w:rsidRPr="00FC4B3D" w:rsidRDefault="00F57493" w:rsidP="00F57493">
      <w:pPr>
        <w:spacing w:line="360" w:lineRule="auto"/>
        <w:ind w:firstLine="360"/>
        <w:jc w:val="both"/>
        <w:rPr>
          <w:rFonts w:ascii="Garamond" w:hAnsi="Garamond"/>
          <w:sz w:val="24"/>
          <w:szCs w:val="24"/>
        </w:rPr>
      </w:pPr>
      <w:r w:rsidRPr="00FC4B3D">
        <w:rPr>
          <w:rFonts w:ascii="Garamond" w:hAnsi="Garamond"/>
          <w:sz w:val="24"/>
          <w:szCs w:val="24"/>
        </w:rPr>
        <w:t>Let us dwell a bit more on Wittgenstein’s reasons to deem philosophical doubts nonsensical.</w:t>
      </w:r>
    </w:p>
    <w:p w14:paraId="104F16D0" w14:textId="77777777" w:rsidR="00D73EC8" w:rsidRPr="00FC4B3D" w:rsidRDefault="00D73EC8" w:rsidP="00F57493">
      <w:pPr>
        <w:spacing w:line="360" w:lineRule="auto"/>
        <w:ind w:firstLine="360"/>
        <w:jc w:val="both"/>
        <w:rPr>
          <w:rFonts w:ascii="Garamond" w:hAnsi="Garamond"/>
          <w:sz w:val="24"/>
          <w:szCs w:val="24"/>
        </w:rPr>
      </w:pPr>
    </w:p>
    <w:p w14:paraId="452ADD90" w14:textId="77777777" w:rsidR="00F57493" w:rsidRPr="00FC4B3D" w:rsidRDefault="00F57493" w:rsidP="00F57493">
      <w:pPr>
        <w:pStyle w:val="ListParagraph"/>
        <w:numPr>
          <w:ilvl w:val="0"/>
          <w:numId w:val="1"/>
        </w:numPr>
        <w:spacing w:line="360" w:lineRule="auto"/>
        <w:jc w:val="both"/>
        <w:rPr>
          <w:rFonts w:ascii="Garamond" w:hAnsi="Garamond"/>
          <w:b/>
          <w:sz w:val="24"/>
          <w:szCs w:val="24"/>
        </w:rPr>
      </w:pPr>
      <w:r w:rsidRPr="00FC4B3D">
        <w:rPr>
          <w:rFonts w:ascii="Garamond" w:hAnsi="Garamond"/>
          <w:b/>
          <w:sz w:val="24"/>
          <w:szCs w:val="24"/>
        </w:rPr>
        <w:t>The nonsense of philosophical skepticism</w:t>
      </w:r>
    </w:p>
    <w:p w14:paraId="1882B967" w14:textId="77777777" w:rsidR="009E5891" w:rsidRPr="00FC4B3D" w:rsidRDefault="009E5891" w:rsidP="00FB1227">
      <w:pPr>
        <w:spacing w:line="360" w:lineRule="auto"/>
        <w:jc w:val="both"/>
        <w:rPr>
          <w:rFonts w:ascii="Garamond" w:hAnsi="Garamond"/>
          <w:sz w:val="24"/>
          <w:szCs w:val="24"/>
        </w:rPr>
      </w:pPr>
      <w:r w:rsidRPr="00FC4B3D">
        <w:rPr>
          <w:rFonts w:ascii="Garamond" w:hAnsi="Garamond"/>
          <w:sz w:val="24"/>
          <w:szCs w:val="24"/>
        </w:rPr>
        <w:t xml:space="preserve">There are two strands </w:t>
      </w:r>
      <w:r w:rsidR="001A3100" w:rsidRPr="00FC4B3D">
        <w:rPr>
          <w:rFonts w:ascii="Garamond" w:hAnsi="Garamond"/>
          <w:sz w:val="24"/>
          <w:szCs w:val="24"/>
        </w:rPr>
        <w:t xml:space="preserve">to Wittgenstein’s </w:t>
      </w:r>
      <w:r w:rsidRPr="00FC4B3D">
        <w:rPr>
          <w:rFonts w:ascii="Garamond" w:hAnsi="Garamond"/>
          <w:sz w:val="24"/>
          <w:szCs w:val="24"/>
        </w:rPr>
        <w:t xml:space="preserve">argument in </w:t>
      </w:r>
      <w:r w:rsidRPr="00FC4B3D">
        <w:rPr>
          <w:rFonts w:ascii="Garamond" w:hAnsi="Garamond"/>
          <w:i/>
          <w:sz w:val="24"/>
          <w:szCs w:val="24"/>
        </w:rPr>
        <w:t>On Certainty</w:t>
      </w:r>
      <w:r w:rsidRPr="00FC4B3D">
        <w:rPr>
          <w:rFonts w:ascii="Garamond" w:hAnsi="Garamond"/>
          <w:sz w:val="24"/>
          <w:szCs w:val="24"/>
        </w:rPr>
        <w:t xml:space="preserve">, </w:t>
      </w:r>
      <w:r w:rsidR="001A3100" w:rsidRPr="00FC4B3D">
        <w:rPr>
          <w:rFonts w:ascii="Garamond" w:hAnsi="Garamond"/>
          <w:sz w:val="24"/>
          <w:szCs w:val="24"/>
        </w:rPr>
        <w:t>targeting</w:t>
      </w:r>
      <w:r w:rsidRPr="00FC4B3D">
        <w:rPr>
          <w:rFonts w:ascii="Garamond" w:hAnsi="Garamond"/>
          <w:sz w:val="24"/>
          <w:szCs w:val="24"/>
        </w:rPr>
        <w:t xml:space="preserve"> two </w:t>
      </w:r>
      <w:r w:rsidR="00270F79" w:rsidRPr="00FC4B3D">
        <w:rPr>
          <w:rFonts w:ascii="Garamond" w:hAnsi="Garamond"/>
          <w:sz w:val="24"/>
          <w:szCs w:val="24"/>
        </w:rPr>
        <w:t xml:space="preserve">different </w:t>
      </w:r>
      <w:r w:rsidRPr="00FC4B3D">
        <w:rPr>
          <w:rFonts w:ascii="Garamond" w:hAnsi="Garamond"/>
          <w:sz w:val="24"/>
          <w:szCs w:val="24"/>
        </w:rPr>
        <w:t xml:space="preserve">forms of skepticism—Cartesian </w:t>
      </w:r>
      <w:r w:rsidR="00270F79" w:rsidRPr="00FC4B3D">
        <w:rPr>
          <w:rFonts w:ascii="Garamond" w:hAnsi="Garamond"/>
          <w:sz w:val="24"/>
          <w:szCs w:val="24"/>
        </w:rPr>
        <w:t xml:space="preserve">and </w:t>
      </w:r>
      <w:proofErr w:type="spellStart"/>
      <w:r w:rsidR="00270F79" w:rsidRPr="00FC4B3D">
        <w:rPr>
          <w:rFonts w:ascii="Garamond" w:hAnsi="Garamond"/>
          <w:sz w:val="24"/>
          <w:szCs w:val="24"/>
        </w:rPr>
        <w:t>Humean</w:t>
      </w:r>
      <w:proofErr w:type="spellEnd"/>
      <w:r w:rsidR="00270F79" w:rsidRPr="00FC4B3D">
        <w:rPr>
          <w:rFonts w:ascii="Garamond" w:hAnsi="Garamond"/>
          <w:sz w:val="24"/>
          <w:szCs w:val="24"/>
        </w:rPr>
        <w:t xml:space="preserve"> skepticism—</w:t>
      </w:r>
      <w:r w:rsidRPr="00FC4B3D">
        <w:rPr>
          <w:rFonts w:ascii="Garamond" w:hAnsi="Garamond"/>
          <w:sz w:val="24"/>
          <w:szCs w:val="24"/>
        </w:rPr>
        <w:t xml:space="preserve">respectively. Against the former, Wittgenstein’s views are quite bold. For he claims that if, in a dream, we uttered or entertained the words “I may be dreaming”, those words would have no meaning. </w:t>
      </w:r>
    </w:p>
    <w:p w14:paraId="6A0F60F5" w14:textId="77777777" w:rsidR="009E5891" w:rsidRPr="00FC4B3D" w:rsidRDefault="009E5891" w:rsidP="009E5891">
      <w:pPr>
        <w:spacing w:line="360" w:lineRule="auto"/>
        <w:ind w:left="709"/>
        <w:jc w:val="both"/>
        <w:rPr>
          <w:rFonts w:ascii="Garamond" w:hAnsi="Garamond"/>
          <w:sz w:val="24"/>
          <w:szCs w:val="24"/>
        </w:rPr>
      </w:pPr>
      <w:r w:rsidRPr="00FC4B3D">
        <w:rPr>
          <w:rFonts w:ascii="Garamond" w:hAnsi="Garamond"/>
          <w:sz w:val="24"/>
          <w:szCs w:val="24"/>
        </w:rPr>
        <w:t>The argument “I may be dreaming” is senseless for this reason: if I am dreaming, this remark is being dreamed as well - and indeed it is also being dreamed that these words have any meaning. (OC 383)</w:t>
      </w:r>
    </w:p>
    <w:p w14:paraId="6B078E36" w14:textId="77777777" w:rsidR="009E5891" w:rsidRPr="00FC4B3D" w:rsidRDefault="009E5891" w:rsidP="009E5891">
      <w:pPr>
        <w:spacing w:line="360" w:lineRule="auto"/>
        <w:ind w:left="709"/>
        <w:jc w:val="both"/>
        <w:rPr>
          <w:rFonts w:ascii="Garamond" w:hAnsi="Garamond"/>
          <w:sz w:val="24"/>
          <w:szCs w:val="24"/>
        </w:rPr>
      </w:pPr>
      <w:r w:rsidRPr="00FC4B3D">
        <w:rPr>
          <w:rFonts w:ascii="Garamond" w:hAnsi="Garamond"/>
          <w:sz w:val="24"/>
          <w:szCs w:val="24"/>
        </w:rPr>
        <w:t xml:space="preserve">“But even if in such cases I can’t be mistaken, isn’t it possible that I am drugged?” If I am and if the drug has taken away my consciousness, then I am not now really talking and thinking. I cannot </w:t>
      </w:r>
      <w:r w:rsidRPr="00FC4B3D">
        <w:rPr>
          <w:rFonts w:ascii="Garamond" w:hAnsi="Garamond"/>
          <w:sz w:val="24"/>
          <w:szCs w:val="24"/>
        </w:rPr>
        <w:lastRenderedPageBreak/>
        <w:t>seriously suppose that I am at this moment dreamin</w:t>
      </w:r>
      <w:r w:rsidR="00F71FB4" w:rsidRPr="00FC4B3D">
        <w:rPr>
          <w:rFonts w:ascii="Garamond" w:hAnsi="Garamond"/>
          <w:sz w:val="24"/>
          <w:szCs w:val="24"/>
        </w:rPr>
        <w:t>g. Someone who, dreaming, says “I am dreaming”</w:t>
      </w:r>
      <w:r w:rsidRPr="00FC4B3D">
        <w:rPr>
          <w:rFonts w:ascii="Garamond" w:hAnsi="Garamond"/>
          <w:sz w:val="24"/>
          <w:szCs w:val="24"/>
        </w:rPr>
        <w:t xml:space="preserve">, even if he speaks audibly in doing so, is no </w:t>
      </w:r>
      <w:proofErr w:type="gramStart"/>
      <w:r w:rsidRPr="00FC4B3D">
        <w:rPr>
          <w:rFonts w:ascii="Garamond" w:hAnsi="Garamond"/>
          <w:sz w:val="24"/>
          <w:szCs w:val="24"/>
        </w:rPr>
        <w:t>more righ</w:t>
      </w:r>
      <w:r w:rsidR="00F71FB4" w:rsidRPr="00FC4B3D">
        <w:rPr>
          <w:rFonts w:ascii="Garamond" w:hAnsi="Garamond"/>
          <w:sz w:val="24"/>
          <w:szCs w:val="24"/>
        </w:rPr>
        <w:t>t</w:t>
      </w:r>
      <w:proofErr w:type="gramEnd"/>
      <w:r w:rsidR="00F71FB4" w:rsidRPr="00FC4B3D">
        <w:rPr>
          <w:rFonts w:ascii="Garamond" w:hAnsi="Garamond"/>
          <w:sz w:val="24"/>
          <w:szCs w:val="24"/>
        </w:rPr>
        <w:t xml:space="preserve"> than if he said in his dream “it is raining”</w:t>
      </w:r>
      <w:r w:rsidRPr="00FC4B3D">
        <w:rPr>
          <w:rFonts w:ascii="Garamond" w:hAnsi="Garamond"/>
          <w:sz w:val="24"/>
          <w:szCs w:val="24"/>
        </w:rPr>
        <w:t xml:space="preserve">, while it was in fact raining. Even if his dream were </w:t>
      </w:r>
      <w:proofErr w:type="gramStart"/>
      <w:r w:rsidRPr="00FC4B3D">
        <w:rPr>
          <w:rFonts w:ascii="Garamond" w:hAnsi="Garamond"/>
          <w:sz w:val="24"/>
          <w:szCs w:val="24"/>
        </w:rPr>
        <w:t>actually connected</w:t>
      </w:r>
      <w:proofErr w:type="gramEnd"/>
      <w:r w:rsidRPr="00FC4B3D">
        <w:rPr>
          <w:rFonts w:ascii="Garamond" w:hAnsi="Garamond"/>
          <w:sz w:val="24"/>
          <w:szCs w:val="24"/>
        </w:rPr>
        <w:t xml:space="preserve"> with the noise of the rain. (OC 676)</w:t>
      </w:r>
    </w:p>
    <w:p w14:paraId="1BE7AD73" w14:textId="77777777" w:rsidR="00F71FB4" w:rsidRPr="00FC4B3D" w:rsidRDefault="009E5891" w:rsidP="00FB1227">
      <w:pPr>
        <w:spacing w:line="360" w:lineRule="auto"/>
        <w:jc w:val="both"/>
        <w:rPr>
          <w:rFonts w:ascii="Garamond" w:hAnsi="Garamond"/>
          <w:sz w:val="24"/>
          <w:szCs w:val="24"/>
        </w:rPr>
      </w:pPr>
      <w:r w:rsidRPr="00FC4B3D">
        <w:rPr>
          <w:rFonts w:ascii="Garamond" w:hAnsi="Garamond"/>
          <w:sz w:val="24"/>
          <w:szCs w:val="24"/>
        </w:rPr>
        <w:t xml:space="preserve">Hence for those words to have a meaning at all, they must be occurring </w:t>
      </w:r>
      <w:r w:rsidR="00270F79" w:rsidRPr="00FC4B3D">
        <w:rPr>
          <w:rFonts w:ascii="Garamond" w:hAnsi="Garamond"/>
          <w:sz w:val="24"/>
          <w:szCs w:val="24"/>
        </w:rPr>
        <w:t>outside</w:t>
      </w:r>
      <w:r w:rsidRPr="00FC4B3D">
        <w:rPr>
          <w:rFonts w:ascii="Garamond" w:hAnsi="Garamond"/>
          <w:sz w:val="24"/>
          <w:szCs w:val="24"/>
        </w:rPr>
        <w:t xml:space="preserve"> a dream and, in their ordinary and only meaningful use, they could never be used to describe a </w:t>
      </w:r>
      <w:proofErr w:type="gramStart"/>
      <w:r w:rsidRPr="00FC4B3D">
        <w:rPr>
          <w:rFonts w:ascii="Garamond" w:hAnsi="Garamond"/>
          <w:sz w:val="24"/>
          <w:szCs w:val="24"/>
        </w:rPr>
        <w:t>possible state of affairs</w:t>
      </w:r>
      <w:proofErr w:type="gramEnd"/>
      <w:r w:rsidRPr="00FC4B3D">
        <w:rPr>
          <w:rFonts w:ascii="Garamond" w:hAnsi="Garamond"/>
          <w:sz w:val="24"/>
          <w:szCs w:val="24"/>
        </w:rPr>
        <w:t>. Rather, they would be used to express something else, like</w:t>
      </w:r>
      <w:r w:rsidR="00F71FB4" w:rsidRPr="00FC4B3D">
        <w:rPr>
          <w:rFonts w:ascii="Garamond" w:hAnsi="Garamond"/>
          <w:sz w:val="24"/>
          <w:szCs w:val="24"/>
        </w:rPr>
        <w:t>, for instance,</w:t>
      </w:r>
      <w:r w:rsidRPr="00FC4B3D">
        <w:rPr>
          <w:rFonts w:ascii="Garamond" w:hAnsi="Garamond"/>
          <w:sz w:val="24"/>
          <w:szCs w:val="24"/>
        </w:rPr>
        <w:t xml:space="preserve"> one’s surprise with respect to an unusual circumstance.</w:t>
      </w:r>
      <w:r w:rsidR="00F71FB4" w:rsidRPr="00FC4B3D">
        <w:rPr>
          <w:rFonts w:ascii="Garamond" w:hAnsi="Garamond"/>
          <w:sz w:val="24"/>
          <w:szCs w:val="24"/>
        </w:rPr>
        <w:t xml:space="preserve"> Yet, if those words cannot be used to make a true assertion, their negation, for Wittgenstein, could not be used to that effect either. Thus, from the fact that there cannot be a genuinely descriptive use of “I am dreaming”, it does not follow that we can meaningfully assert the opposite. R</w:t>
      </w:r>
      <w:r w:rsidR="00270F79" w:rsidRPr="00FC4B3D">
        <w:rPr>
          <w:rFonts w:ascii="Garamond" w:hAnsi="Garamond"/>
          <w:sz w:val="24"/>
          <w:szCs w:val="24"/>
        </w:rPr>
        <w:t>ather, either we are using that</w:t>
      </w:r>
      <w:r w:rsidR="00F71FB4" w:rsidRPr="00FC4B3D">
        <w:rPr>
          <w:rFonts w:ascii="Garamond" w:hAnsi="Garamond"/>
          <w:sz w:val="24"/>
          <w:szCs w:val="24"/>
        </w:rPr>
        <w:t xml:space="preserve"> phrase to emphasize that our experience, however unusual, is veridical; or else, we are hitting against a hinge-like use of it. </w:t>
      </w:r>
    </w:p>
    <w:p w14:paraId="21F5C3C2" w14:textId="77777777" w:rsidR="00270F79" w:rsidRPr="00FC4B3D" w:rsidRDefault="00270F79" w:rsidP="00270F79">
      <w:pPr>
        <w:spacing w:line="360" w:lineRule="auto"/>
        <w:ind w:firstLine="360"/>
        <w:jc w:val="both"/>
        <w:rPr>
          <w:rFonts w:ascii="Garamond" w:hAnsi="Garamond"/>
          <w:sz w:val="24"/>
          <w:szCs w:val="24"/>
        </w:rPr>
      </w:pPr>
      <w:r w:rsidRPr="00FC4B3D">
        <w:rPr>
          <w:rFonts w:ascii="Garamond" w:hAnsi="Garamond"/>
          <w:sz w:val="24"/>
          <w:szCs w:val="24"/>
        </w:rPr>
        <w:t xml:space="preserve">The second strand </w:t>
      </w:r>
      <w:r w:rsidR="001A3100" w:rsidRPr="00FC4B3D">
        <w:rPr>
          <w:rFonts w:ascii="Garamond" w:hAnsi="Garamond"/>
          <w:sz w:val="24"/>
          <w:szCs w:val="24"/>
        </w:rPr>
        <w:t>to Wittgenstein’s</w:t>
      </w:r>
      <w:r w:rsidRPr="00FC4B3D">
        <w:rPr>
          <w:rFonts w:ascii="Garamond" w:hAnsi="Garamond"/>
          <w:sz w:val="24"/>
          <w:szCs w:val="24"/>
        </w:rPr>
        <w:t xml:space="preserve"> argument is not targeting Cartesian skepticism, but </w:t>
      </w:r>
      <w:proofErr w:type="spellStart"/>
      <w:r w:rsidRPr="00FC4B3D">
        <w:rPr>
          <w:rFonts w:ascii="Garamond" w:hAnsi="Garamond"/>
          <w:sz w:val="24"/>
          <w:szCs w:val="24"/>
        </w:rPr>
        <w:t>Humean</w:t>
      </w:r>
      <w:proofErr w:type="spellEnd"/>
      <w:r w:rsidRPr="00FC4B3D">
        <w:rPr>
          <w:rFonts w:ascii="Garamond" w:hAnsi="Garamond"/>
          <w:sz w:val="24"/>
          <w:szCs w:val="24"/>
        </w:rPr>
        <w:t xml:space="preserve"> skepticism. The key aspect of this latter form of skepticism is that it demands an epistemic justification for our hinges, to acknowledge their being rationally held. Yet, for Wittgenstein, neither “Here is my hand” (in Moore-like circumstances), nor “There is an external world”, or “There are physical objects”, or any other presupposition of rational inquiry can </w:t>
      </w:r>
      <w:proofErr w:type="gramStart"/>
      <w:r w:rsidRPr="00FC4B3D">
        <w:rPr>
          <w:rFonts w:ascii="Garamond" w:hAnsi="Garamond"/>
          <w:sz w:val="24"/>
          <w:szCs w:val="24"/>
        </w:rPr>
        <w:t>actually be</w:t>
      </w:r>
      <w:proofErr w:type="gramEnd"/>
      <w:r w:rsidRPr="00FC4B3D">
        <w:rPr>
          <w:rFonts w:ascii="Garamond" w:hAnsi="Garamond"/>
          <w:sz w:val="24"/>
          <w:szCs w:val="24"/>
        </w:rPr>
        <w:t xml:space="preserve"> sustained by reasons. For it is only by taking them for granted that we could produce anything like epistemic reasons for or against ordinary empirical propositions. To repeat, I have to take it for granted that there is my hand here</w:t>
      </w:r>
      <w:r w:rsidR="0002085C" w:rsidRPr="00FC4B3D">
        <w:rPr>
          <w:rFonts w:ascii="Garamond" w:hAnsi="Garamond"/>
          <w:sz w:val="24"/>
          <w:szCs w:val="24"/>
        </w:rPr>
        <w:t xml:space="preserve"> (in Moore-like circumstances)</w:t>
      </w:r>
      <w:r w:rsidRPr="00FC4B3D">
        <w:rPr>
          <w:rFonts w:ascii="Garamond" w:hAnsi="Garamond"/>
          <w:sz w:val="24"/>
          <w:szCs w:val="24"/>
        </w:rPr>
        <w:t xml:space="preserve">, and that therefore there are physical objects, and that my senses are working reliably, to be within my rights in taking </w:t>
      </w:r>
      <w:r w:rsidR="0002085C" w:rsidRPr="00FC4B3D">
        <w:rPr>
          <w:rFonts w:ascii="Garamond" w:hAnsi="Garamond"/>
          <w:sz w:val="24"/>
          <w:szCs w:val="24"/>
        </w:rPr>
        <w:t xml:space="preserve">my sensory experience as justifying my belief that there is no glass of water on my desk at the moment; as well as to take that experience as a guide in my subsequent empirical inquiry aimed at determining where I might have left it. Yet, the fact that hinges lie beyond justification does not mean that they can be doubted. For doubts too should be based on reasons, but nothing we regard as a reason </w:t>
      </w:r>
      <w:proofErr w:type="gramStart"/>
      <w:r w:rsidR="0002085C" w:rsidRPr="00FC4B3D">
        <w:rPr>
          <w:rFonts w:ascii="Garamond" w:hAnsi="Garamond"/>
          <w:sz w:val="24"/>
          <w:szCs w:val="24"/>
        </w:rPr>
        <w:t>actually speaks</w:t>
      </w:r>
      <w:proofErr w:type="gramEnd"/>
      <w:r w:rsidR="0002085C" w:rsidRPr="00FC4B3D">
        <w:rPr>
          <w:rFonts w:ascii="Garamond" w:hAnsi="Garamond"/>
          <w:sz w:val="24"/>
          <w:szCs w:val="24"/>
        </w:rPr>
        <w:t xml:space="preserve"> against these hinges, nor could. T</w:t>
      </w:r>
      <w:r w:rsidR="00C65DEA" w:rsidRPr="00FC4B3D">
        <w:rPr>
          <w:rFonts w:ascii="Garamond" w:hAnsi="Garamond"/>
          <w:sz w:val="24"/>
          <w:szCs w:val="24"/>
        </w:rPr>
        <w:t>hus, t</w:t>
      </w:r>
      <w:r w:rsidR="0002085C" w:rsidRPr="00FC4B3D">
        <w:rPr>
          <w:rFonts w:ascii="Garamond" w:hAnsi="Garamond"/>
          <w:sz w:val="24"/>
          <w:szCs w:val="24"/>
        </w:rPr>
        <w:t>heir lying beyond justification makes them immune to sensible doubt as well.</w:t>
      </w:r>
      <w:r w:rsidR="0002085C" w:rsidRPr="00FC4B3D">
        <w:rPr>
          <w:rStyle w:val="FootnoteReference"/>
          <w:rFonts w:ascii="Garamond" w:hAnsi="Garamond"/>
          <w:sz w:val="24"/>
          <w:szCs w:val="24"/>
        </w:rPr>
        <w:footnoteReference w:id="12"/>
      </w:r>
    </w:p>
    <w:p w14:paraId="6C63BF0B" w14:textId="77777777" w:rsidR="00D73EC8" w:rsidRPr="00FC4B3D" w:rsidRDefault="00D73EC8" w:rsidP="00270F79">
      <w:pPr>
        <w:spacing w:line="360" w:lineRule="auto"/>
        <w:ind w:firstLine="360"/>
        <w:jc w:val="both"/>
        <w:rPr>
          <w:rFonts w:ascii="Garamond" w:hAnsi="Garamond"/>
          <w:sz w:val="24"/>
          <w:szCs w:val="24"/>
        </w:rPr>
      </w:pPr>
    </w:p>
    <w:p w14:paraId="49A4F378" w14:textId="77777777" w:rsidR="00E540D6" w:rsidRPr="00FC4B3D" w:rsidRDefault="00E540D6" w:rsidP="00E540D6">
      <w:pPr>
        <w:pStyle w:val="ListParagraph"/>
        <w:numPr>
          <w:ilvl w:val="0"/>
          <w:numId w:val="1"/>
        </w:numPr>
        <w:spacing w:line="360" w:lineRule="auto"/>
        <w:jc w:val="both"/>
        <w:rPr>
          <w:rFonts w:ascii="Garamond" w:hAnsi="Garamond"/>
          <w:b/>
          <w:sz w:val="24"/>
          <w:szCs w:val="24"/>
        </w:rPr>
      </w:pPr>
      <w:r w:rsidRPr="00FC4B3D">
        <w:rPr>
          <w:rFonts w:ascii="Garamond" w:hAnsi="Garamond"/>
          <w:b/>
          <w:sz w:val="24"/>
          <w:szCs w:val="24"/>
        </w:rPr>
        <w:t>Some comparisons</w:t>
      </w:r>
    </w:p>
    <w:p w14:paraId="581D20C7" w14:textId="77777777" w:rsidR="00E540D6" w:rsidRPr="00FC4B3D" w:rsidRDefault="00E540D6" w:rsidP="00E540D6">
      <w:pPr>
        <w:pStyle w:val="ListParagraph"/>
        <w:numPr>
          <w:ilvl w:val="1"/>
          <w:numId w:val="1"/>
        </w:numPr>
        <w:spacing w:after="0" w:line="360" w:lineRule="auto"/>
        <w:jc w:val="both"/>
        <w:rPr>
          <w:rFonts w:ascii="Garamond" w:hAnsi="Garamond" w:cs="Times New Roman"/>
          <w:b/>
          <w:sz w:val="24"/>
          <w:szCs w:val="24"/>
        </w:rPr>
      </w:pPr>
      <w:r w:rsidRPr="00FC4B3D">
        <w:rPr>
          <w:rFonts w:ascii="Garamond" w:hAnsi="Garamond" w:cs="Times New Roman"/>
          <w:b/>
          <w:sz w:val="24"/>
          <w:szCs w:val="24"/>
        </w:rPr>
        <w:t>Therapeutic readings</w:t>
      </w:r>
    </w:p>
    <w:p w14:paraId="707F587E" w14:textId="764CCD7B" w:rsidR="00EC2081" w:rsidRPr="00FC4B3D" w:rsidRDefault="00E540D6" w:rsidP="00591AAB">
      <w:pPr>
        <w:spacing w:after="0" w:line="360" w:lineRule="auto"/>
        <w:jc w:val="both"/>
        <w:rPr>
          <w:rFonts w:ascii="Garamond" w:hAnsi="Garamond" w:cs="Times New Roman"/>
          <w:sz w:val="24"/>
          <w:szCs w:val="24"/>
        </w:rPr>
      </w:pPr>
      <w:r w:rsidRPr="00FC4B3D">
        <w:rPr>
          <w:rFonts w:ascii="Garamond" w:hAnsi="Garamond" w:cs="Times New Roman"/>
          <w:sz w:val="24"/>
          <w:szCs w:val="24"/>
        </w:rPr>
        <w:lastRenderedPageBreak/>
        <w:t xml:space="preserve">As the connoisseurs will have noticed, </w:t>
      </w:r>
      <w:r w:rsidR="00EC2081" w:rsidRPr="00FC4B3D">
        <w:rPr>
          <w:rFonts w:ascii="Garamond" w:hAnsi="Garamond" w:cs="Times New Roman"/>
          <w:sz w:val="24"/>
          <w:szCs w:val="24"/>
        </w:rPr>
        <w:t>I have come close to so-called “therapeutic” interpretations of Wittgenstein’s thought,</w:t>
      </w:r>
      <w:r w:rsidR="00EC2081" w:rsidRPr="00FC4B3D">
        <w:rPr>
          <w:rStyle w:val="FootnoteReference"/>
          <w:rFonts w:ascii="Garamond" w:hAnsi="Garamond" w:cs="Times New Roman"/>
          <w:sz w:val="24"/>
          <w:szCs w:val="24"/>
        </w:rPr>
        <w:footnoteReference w:id="13"/>
      </w:r>
      <w:r w:rsidR="00EC2081" w:rsidRPr="00FC4B3D">
        <w:rPr>
          <w:rFonts w:ascii="Garamond" w:hAnsi="Garamond" w:cs="Times New Roman"/>
          <w:sz w:val="24"/>
          <w:szCs w:val="24"/>
        </w:rPr>
        <w:t xml:space="preserve"> according to which Moore with his use of “I know”, and more generally philosophers, often tend to fall</w:t>
      </w:r>
      <w:r w:rsidRPr="00FC4B3D">
        <w:rPr>
          <w:rFonts w:ascii="Garamond" w:hAnsi="Garamond" w:cs="Times New Roman"/>
          <w:sz w:val="24"/>
          <w:szCs w:val="24"/>
        </w:rPr>
        <w:t xml:space="preserve"> prey to an illusion of meaning.</w:t>
      </w:r>
      <w:r w:rsidR="00EC2081" w:rsidRPr="00FC4B3D">
        <w:rPr>
          <w:rFonts w:ascii="Garamond" w:hAnsi="Garamond" w:cs="Times New Roman"/>
          <w:sz w:val="24"/>
          <w:szCs w:val="24"/>
        </w:rPr>
        <w:t xml:space="preserve"> </w:t>
      </w:r>
      <w:r w:rsidRPr="00FC4B3D">
        <w:rPr>
          <w:rFonts w:ascii="Garamond" w:hAnsi="Garamond" w:cs="Times New Roman"/>
          <w:sz w:val="24"/>
          <w:szCs w:val="24"/>
        </w:rPr>
        <w:t xml:space="preserve">For </w:t>
      </w:r>
      <w:r w:rsidR="00EC2081" w:rsidRPr="00FC4B3D">
        <w:rPr>
          <w:rFonts w:ascii="Garamond" w:hAnsi="Garamond" w:cs="Times New Roman"/>
          <w:sz w:val="24"/>
          <w:szCs w:val="24"/>
        </w:rPr>
        <w:t>they think they are making sense, when they employ certain words, and that they are therefore discovering deep philosophical truths (or problems), while they are in fact speaking nonsense. Yet</w:t>
      </w:r>
      <w:r w:rsidR="00F57493" w:rsidRPr="00FC4B3D">
        <w:rPr>
          <w:rFonts w:ascii="Garamond" w:hAnsi="Garamond" w:cs="Times New Roman"/>
          <w:sz w:val="24"/>
          <w:szCs w:val="24"/>
        </w:rPr>
        <w:t>,</w:t>
      </w:r>
      <w:r w:rsidR="00EC2081" w:rsidRPr="00FC4B3D">
        <w:rPr>
          <w:rFonts w:ascii="Garamond" w:hAnsi="Garamond" w:cs="Times New Roman"/>
          <w:sz w:val="24"/>
          <w:szCs w:val="24"/>
        </w:rPr>
        <w:t xml:space="preserve"> I think therapeutic interpretations</w:t>
      </w:r>
      <w:r w:rsidR="00F57493" w:rsidRPr="00FC4B3D">
        <w:rPr>
          <w:rFonts w:ascii="Garamond" w:hAnsi="Garamond" w:cs="Times New Roman"/>
          <w:sz w:val="24"/>
          <w:szCs w:val="24"/>
        </w:rPr>
        <w:t xml:space="preserve"> of Wittgenstein’s thought</w:t>
      </w:r>
      <w:r w:rsidR="00EC2081" w:rsidRPr="00FC4B3D">
        <w:rPr>
          <w:rFonts w:ascii="Garamond" w:hAnsi="Garamond" w:cs="Times New Roman"/>
          <w:sz w:val="24"/>
          <w:szCs w:val="24"/>
        </w:rPr>
        <w:t xml:space="preserve"> are too partial. For they fail to see that while use comes first and determines meaning, it does so, for Wittgenstein, because it fixes the rules for the correct employment of signs and for the actual deployment of our epistemic practices. </w:t>
      </w:r>
      <w:r w:rsidRPr="00FC4B3D">
        <w:rPr>
          <w:rFonts w:ascii="Garamond" w:hAnsi="Garamond" w:cs="Times New Roman"/>
          <w:sz w:val="24"/>
          <w:szCs w:val="24"/>
        </w:rPr>
        <w:t>Thus,</w:t>
      </w:r>
      <w:r w:rsidR="00EC2081" w:rsidRPr="00FC4B3D">
        <w:rPr>
          <w:rFonts w:ascii="Garamond" w:hAnsi="Garamond" w:cs="Times New Roman"/>
          <w:sz w:val="24"/>
          <w:szCs w:val="24"/>
        </w:rPr>
        <w:t xml:space="preserve"> there is no opposition, in my view, between stressing the importance and primacy of use in the later Wittgenstein and his insistence on rules and grammar. When philosophers speak nonsense, they do so because they run against the rules of language, as well as of evidential significance, established by use and by our actual language games and epistemic practices.</w:t>
      </w:r>
      <w:r w:rsidR="00203268" w:rsidRPr="00FC4B3D">
        <w:rPr>
          <w:rStyle w:val="FootnoteReference"/>
          <w:rFonts w:ascii="Garamond" w:hAnsi="Garamond" w:cs="Times New Roman"/>
          <w:sz w:val="24"/>
          <w:szCs w:val="24"/>
        </w:rPr>
        <w:footnoteReference w:id="14"/>
      </w:r>
      <w:r w:rsidR="00EC2081" w:rsidRPr="00FC4B3D">
        <w:rPr>
          <w:rFonts w:ascii="Garamond" w:hAnsi="Garamond" w:cs="Times New Roman"/>
          <w:sz w:val="24"/>
          <w:szCs w:val="24"/>
        </w:rPr>
        <w:t xml:space="preserve"> Furthermore, in my view, therapists tend to discard the important insights, contained in </w:t>
      </w:r>
      <w:r w:rsidR="00EC2081" w:rsidRPr="00FC4B3D">
        <w:rPr>
          <w:rFonts w:ascii="Garamond" w:hAnsi="Garamond" w:cs="Times New Roman"/>
          <w:i/>
          <w:sz w:val="24"/>
          <w:szCs w:val="24"/>
        </w:rPr>
        <w:t>On Certainty</w:t>
      </w:r>
      <w:r w:rsidR="00EC2081" w:rsidRPr="00FC4B3D">
        <w:rPr>
          <w:rFonts w:ascii="Garamond" w:hAnsi="Garamond" w:cs="Times New Roman"/>
          <w:sz w:val="24"/>
          <w:szCs w:val="24"/>
        </w:rPr>
        <w:t>, on the grammatical role of “I know”, which clarify the normative status of our certainties, viz. of those “hinge” propositions with respect to which “I know” may be used grammatically.</w:t>
      </w:r>
    </w:p>
    <w:p w14:paraId="6072D0AF" w14:textId="77777777" w:rsidR="00EC2081" w:rsidRPr="00FC4B3D" w:rsidRDefault="00EC2081" w:rsidP="00591AAB">
      <w:pPr>
        <w:spacing w:after="0" w:line="360" w:lineRule="auto"/>
        <w:jc w:val="both"/>
        <w:rPr>
          <w:rFonts w:ascii="Garamond" w:hAnsi="Garamond" w:cs="Times New Roman"/>
          <w:sz w:val="24"/>
          <w:szCs w:val="24"/>
        </w:rPr>
      </w:pPr>
    </w:p>
    <w:p w14:paraId="2FBCAD9B" w14:textId="77777777" w:rsidR="00EC2081" w:rsidRPr="00FC4B3D" w:rsidRDefault="00EC2081" w:rsidP="00E540D6">
      <w:pPr>
        <w:pStyle w:val="ListParagraph"/>
        <w:numPr>
          <w:ilvl w:val="1"/>
          <w:numId w:val="1"/>
        </w:numPr>
        <w:spacing w:after="0" w:line="360" w:lineRule="auto"/>
        <w:jc w:val="both"/>
        <w:rPr>
          <w:rFonts w:ascii="Garamond" w:hAnsi="Garamond" w:cs="Times New Roman"/>
          <w:b/>
          <w:i/>
          <w:sz w:val="24"/>
          <w:szCs w:val="24"/>
        </w:rPr>
      </w:pPr>
      <w:r w:rsidRPr="00FC4B3D">
        <w:rPr>
          <w:rFonts w:ascii="Garamond" w:hAnsi="Garamond" w:cs="Times New Roman"/>
          <w:b/>
          <w:sz w:val="24"/>
          <w:szCs w:val="24"/>
        </w:rPr>
        <w:t>Travis</w:t>
      </w:r>
      <w:r w:rsidR="00E635B4" w:rsidRPr="00FC4B3D">
        <w:rPr>
          <w:rFonts w:ascii="Garamond" w:hAnsi="Garamond" w:cs="Times New Roman"/>
          <w:b/>
          <w:sz w:val="24"/>
          <w:szCs w:val="24"/>
        </w:rPr>
        <w:t xml:space="preserve">: </w:t>
      </w:r>
      <w:r w:rsidR="00E576B6" w:rsidRPr="00FC4B3D">
        <w:rPr>
          <w:rFonts w:ascii="Garamond" w:hAnsi="Garamond" w:cs="Times New Roman"/>
          <w:b/>
          <w:sz w:val="24"/>
          <w:szCs w:val="24"/>
        </w:rPr>
        <w:t xml:space="preserve">Wittgenstein as a </w:t>
      </w:r>
      <w:r w:rsidR="00E576B6" w:rsidRPr="00FC4B3D">
        <w:rPr>
          <w:rFonts w:ascii="Garamond" w:hAnsi="Garamond" w:cs="Times New Roman"/>
          <w:b/>
          <w:i/>
          <w:sz w:val="24"/>
          <w:szCs w:val="24"/>
        </w:rPr>
        <w:t>contemporary</w:t>
      </w:r>
      <w:r w:rsidR="00E576B6" w:rsidRPr="00FC4B3D">
        <w:rPr>
          <w:rFonts w:ascii="Garamond" w:hAnsi="Garamond" w:cs="Times New Roman"/>
          <w:b/>
          <w:sz w:val="24"/>
          <w:szCs w:val="24"/>
        </w:rPr>
        <w:t xml:space="preserve"> contextualist</w:t>
      </w:r>
      <w:r w:rsidR="002B1B81" w:rsidRPr="00FC4B3D">
        <w:rPr>
          <w:rFonts w:ascii="Garamond" w:hAnsi="Garamond" w:cs="Times New Roman"/>
          <w:b/>
          <w:sz w:val="24"/>
          <w:szCs w:val="24"/>
        </w:rPr>
        <w:t xml:space="preserve"> </w:t>
      </w:r>
      <w:r w:rsidR="002B1B81" w:rsidRPr="00FC4B3D">
        <w:rPr>
          <w:rFonts w:ascii="Garamond" w:hAnsi="Garamond" w:cs="Times New Roman"/>
          <w:b/>
          <w:i/>
          <w:sz w:val="24"/>
          <w:szCs w:val="24"/>
        </w:rPr>
        <w:t xml:space="preserve">ante </w:t>
      </w:r>
      <w:proofErr w:type="spellStart"/>
      <w:r w:rsidR="002B1B81" w:rsidRPr="00FC4B3D">
        <w:rPr>
          <w:rFonts w:ascii="Garamond" w:hAnsi="Garamond" w:cs="Times New Roman"/>
          <w:b/>
          <w:i/>
          <w:sz w:val="24"/>
          <w:szCs w:val="24"/>
        </w:rPr>
        <w:t>litteram</w:t>
      </w:r>
      <w:proofErr w:type="spellEnd"/>
    </w:p>
    <w:p w14:paraId="745CD997" w14:textId="77777777" w:rsidR="00EC2081" w:rsidRPr="00FC4B3D" w:rsidRDefault="00F57493" w:rsidP="00591AAB">
      <w:pPr>
        <w:spacing w:after="0" w:line="360" w:lineRule="auto"/>
        <w:jc w:val="both"/>
        <w:rPr>
          <w:rFonts w:ascii="Garamond" w:hAnsi="Garamond" w:cs="Times New Roman"/>
          <w:sz w:val="24"/>
          <w:szCs w:val="24"/>
        </w:rPr>
      </w:pPr>
      <w:r w:rsidRPr="00FC4B3D">
        <w:rPr>
          <w:rFonts w:ascii="Garamond" w:hAnsi="Garamond" w:cs="Times New Roman"/>
          <w:sz w:val="24"/>
          <w:szCs w:val="24"/>
        </w:rPr>
        <w:t>S</w:t>
      </w:r>
      <w:r w:rsidR="00EC2081" w:rsidRPr="00FC4B3D">
        <w:rPr>
          <w:rFonts w:ascii="Garamond" w:hAnsi="Garamond" w:cs="Times New Roman"/>
          <w:sz w:val="24"/>
          <w:szCs w:val="24"/>
        </w:rPr>
        <w:t>ema</w:t>
      </w:r>
      <w:r w:rsidR="002B1B81" w:rsidRPr="00FC4B3D">
        <w:rPr>
          <w:rFonts w:ascii="Garamond" w:hAnsi="Garamond" w:cs="Times New Roman"/>
          <w:sz w:val="24"/>
          <w:szCs w:val="24"/>
        </w:rPr>
        <w:t xml:space="preserve">ntic contextualist readings of </w:t>
      </w:r>
      <w:r w:rsidR="00EC2081" w:rsidRPr="00FC4B3D">
        <w:rPr>
          <w:rFonts w:ascii="Garamond" w:hAnsi="Garamond" w:cs="Times New Roman"/>
          <w:i/>
          <w:sz w:val="24"/>
          <w:szCs w:val="24"/>
        </w:rPr>
        <w:t>On Certainty</w:t>
      </w:r>
      <w:r w:rsidR="00EC2081" w:rsidRPr="00FC4B3D">
        <w:rPr>
          <w:rFonts w:ascii="Garamond" w:hAnsi="Garamond" w:cs="Times New Roman"/>
          <w:sz w:val="24"/>
          <w:szCs w:val="24"/>
        </w:rPr>
        <w:t xml:space="preserve"> and of Wittgenstein’s observations on Moore’s use of “I know”</w:t>
      </w:r>
      <w:r w:rsidR="002B1B81" w:rsidRPr="00FC4B3D">
        <w:rPr>
          <w:rFonts w:ascii="Garamond" w:hAnsi="Garamond" w:cs="Times New Roman"/>
          <w:sz w:val="24"/>
          <w:szCs w:val="24"/>
        </w:rPr>
        <w:t xml:space="preserve">, aim to interpret them as examples of </w:t>
      </w:r>
      <w:r w:rsidR="002B1B81" w:rsidRPr="00FC4B3D">
        <w:rPr>
          <w:rFonts w:ascii="Garamond" w:hAnsi="Garamond" w:cs="Times New Roman"/>
          <w:i/>
          <w:sz w:val="24"/>
          <w:szCs w:val="24"/>
        </w:rPr>
        <w:t>contemporary</w:t>
      </w:r>
      <w:r w:rsidR="002B1B81" w:rsidRPr="00FC4B3D">
        <w:rPr>
          <w:rFonts w:ascii="Garamond" w:hAnsi="Garamond" w:cs="Times New Roman"/>
          <w:sz w:val="24"/>
          <w:szCs w:val="24"/>
        </w:rPr>
        <w:t xml:space="preserve"> contextualism </w:t>
      </w:r>
      <w:r w:rsidR="002B1B81" w:rsidRPr="00FC4B3D">
        <w:rPr>
          <w:rFonts w:ascii="Garamond" w:hAnsi="Garamond" w:cs="Times New Roman"/>
          <w:i/>
          <w:sz w:val="24"/>
          <w:szCs w:val="24"/>
        </w:rPr>
        <w:t xml:space="preserve">ante </w:t>
      </w:r>
      <w:proofErr w:type="spellStart"/>
      <w:r w:rsidR="002B1B81" w:rsidRPr="00FC4B3D">
        <w:rPr>
          <w:rFonts w:ascii="Garamond" w:hAnsi="Garamond" w:cs="Times New Roman"/>
          <w:i/>
          <w:sz w:val="24"/>
          <w:szCs w:val="24"/>
        </w:rPr>
        <w:t>litteram</w:t>
      </w:r>
      <w:proofErr w:type="spellEnd"/>
      <w:r w:rsidR="00EC2081" w:rsidRPr="00FC4B3D">
        <w:rPr>
          <w:rFonts w:ascii="Garamond" w:hAnsi="Garamond" w:cs="Times New Roman"/>
          <w:sz w:val="24"/>
          <w:szCs w:val="24"/>
        </w:rPr>
        <w:t xml:space="preserve">. </w:t>
      </w:r>
      <w:r w:rsidRPr="00FC4B3D">
        <w:rPr>
          <w:rFonts w:ascii="Garamond" w:hAnsi="Garamond" w:cs="Times New Roman"/>
          <w:sz w:val="24"/>
          <w:szCs w:val="24"/>
        </w:rPr>
        <w:t>S</w:t>
      </w:r>
      <w:r w:rsidR="002B1B81" w:rsidRPr="00FC4B3D">
        <w:rPr>
          <w:rFonts w:ascii="Garamond" w:hAnsi="Garamond" w:cs="Times New Roman"/>
          <w:sz w:val="24"/>
          <w:szCs w:val="24"/>
        </w:rPr>
        <w:t xml:space="preserve">upporters of such a </w:t>
      </w:r>
      <w:proofErr w:type="gramStart"/>
      <w:r w:rsidR="002B1B81" w:rsidRPr="00FC4B3D">
        <w:rPr>
          <w:rFonts w:ascii="Garamond" w:hAnsi="Garamond" w:cs="Times New Roman"/>
          <w:sz w:val="24"/>
          <w:szCs w:val="24"/>
        </w:rPr>
        <w:t>reading</w:t>
      </w:r>
      <w:r w:rsidR="00EC2081" w:rsidRPr="00FC4B3D">
        <w:rPr>
          <w:rFonts w:ascii="Garamond" w:hAnsi="Garamond" w:cs="Times New Roman"/>
          <w:sz w:val="24"/>
          <w:szCs w:val="24"/>
        </w:rPr>
        <w:t xml:space="preserve"> join therapists</w:t>
      </w:r>
      <w:proofErr w:type="gramEnd"/>
      <w:r w:rsidR="00EC2081" w:rsidRPr="00FC4B3D">
        <w:rPr>
          <w:rFonts w:ascii="Garamond" w:hAnsi="Garamond" w:cs="Times New Roman"/>
          <w:sz w:val="24"/>
          <w:szCs w:val="24"/>
        </w:rPr>
        <w:t xml:space="preserve"> and myself in stressing the fact that Wittgenstein’s insistence on use </w:t>
      </w:r>
      <w:r w:rsidR="002B1B81" w:rsidRPr="00FC4B3D">
        <w:rPr>
          <w:rFonts w:ascii="Garamond" w:hAnsi="Garamond" w:cs="Times New Roman"/>
          <w:sz w:val="24"/>
          <w:szCs w:val="24"/>
        </w:rPr>
        <w:t>has</w:t>
      </w:r>
      <w:r w:rsidR="00EC2081" w:rsidRPr="00FC4B3D">
        <w:rPr>
          <w:rFonts w:ascii="Garamond" w:hAnsi="Garamond" w:cs="Times New Roman"/>
          <w:sz w:val="24"/>
          <w:szCs w:val="24"/>
        </w:rPr>
        <w:t xml:space="preserve"> deep philosophical consequences. </w:t>
      </w:r>
      <w:proofErr w:type="gramStart"/>
      <w:r w:rsidR="00EC2081" w:rsidRPr="00FC4B3D">
        <w:rPr>
          <w:rFonts w:ascii="Garamond" w:hAnsi="Garamond" w:cs="Times New Roman"/>
          <w:sz w:val="24"/>
          <w:szCs w:val="24"/>
        </w:rPr>
        <w:t>In particular, it</w:t>
      </w:r>
      <w:proofErr w:type="gramEnd"/>
      <w:r w:rsidR="00EC2081" w:rsidRPr="00FC4B3D">
        <w:rPr>
          <w:rFonts w:ascii="Garamond" w:hAnsi="Garamond" w:cs="Times New Roman"/>
          <w:sz w:val="24"/>
          <w:szCs w:val="24"/>
        </w:rPr>
        <w:t xml:space="preserve"> entail</w:t>
      </w:r>
      <w:r w:rsidR="002B1B81" w:rsidRPr="00FC4B3D">
        <w:rPr>
          <w:rFonts w:ascii="Garamond" w:hAnsi="Garamond" w:cs="Times New Roman"/>
          <w:sz w:val="24"/>
          <w:szCs w:val="24"/>
        </w:rPr>
        <w:t>s</w:t>
      </w:r>
      <w:r w:rsidR="00EC2081" w:rsidRPr="00FC4B3D">
        <w:rPr>
          <w:rFonts w:ascii="Garamond" w:hAnsi="Garamond" w:cs="Times New Roman"/>
          <w:sz w:val="24"/>
          <w:szCs w:val="24"/>
        </w:rPr>
        <w:t xml:space="preserve"> that </w:t>
      </w:r>
      <w:r w:rsidR="002939A1" w:rsidRPr="00FC4B3D">
        <w:rPr>
          <w:rFonts w:ascii="Garamond" w:hAnsi="Garamond" w:cs="Times New Roman"/>
          <w:sz w:val="24"/>
          <w:szCs w:val="24"/>
        </w:rPr>
        <w:t xml:space="preserve">most </w:t>
      </w:r>
      <w:r w:rsidR="00EC2081" w:rsidRPr="00FC4B3D">
        <w:rPr>
          <w:rFonts w:ascii="Garamond" w:hAnsi="Garamond" w:cs="Times New Roman"/>
          <w:sz w:val="24"/>
          <w:szCs w:val="24"/>
        </w:rPr>
        <w:t>p</w:t>
      </w:r>
      <w:r w:rsidR="002B1B81" w:rsidRPr="00FC4B3D">
        <w:rPr>
          <w:rFonts w:ascii="Garamond" w:hAnsi="Garamond" w:cs="Times New Roman"/>
          <w:sz w:val="24"/>
          <w:szCs w:val="24"/>
        </w:rPr>
        <w:t>hilosophical employments of “I know”</w:t>
      </w:r>
      <w:r w:rsidR="00EC2081" w:rsidRPr="00FC4B3D">
        <w:rPr>
          <w:rFonts w:ascii="Garamond" w:hAnsi="Garamond" w:cs="Times New Roman"/>
          <w:sz w:val="24"/>
          <w:szCs w:val="24"/>
        </w:rPr>
        <w:t xml:space="preserve"> would actually fail to make sense (Travis 1989, 153). This, however, may suggest that there are more similarities between </w:t>
      </w:r>
      <w:r w:rsidR="002B1B81" w:rsidRPr="00FC4B3D">
        <w:rPr>
          <w:rFonts w:ascii="Garamond" w:hAnsi="Garamond" w:cs="Times New Roman"/>
          <w:sz w:val="24"/>
          <w:szCs w:val="24"/>
        </w:rPr>
        <w:t>these “contemporary”</w:t>
      </w:r>
      <w:r w:rsidR="00EC2081" w:rsidRPr="00FC4B3D">
        <w:rPr>
          <w:rFonts w:ascii="Garamond" w:hAnsi="Garamond" w:cs="Times New Roman"/>
          <w:sz w:val="24"/>
          <w:szCs w:val="24"/>
        </w:rPr>
        <w:t xml:space="preserve"> contextualist readings of Wittgenstein and mine, than it is in fact the case.</w:t>
      </w:r>
    </w:p>
    <w:p w14:paraId="29145E3B" w14:textId="3FAEA248" w:rsidR="00EC2081" w:rsidRPr="00FC4B3D" w:rsidRDefault="00EC2081" w:rsidP="002B1B81">
      <w:pPr>
        <w:spacing w:after="0" w:line="360" w:lineRule="auto"/>
        <w:ind w:firstLine="720"/>
        <w:jc w:val="both"/>
        <w:rPr>
          <w:rFonts w:ascii="Garamond" w:hAnsi="Garamond" w:cs="Times New Roman"/>
          <w:sz w:val="24"/>
          <w:szCs w:val="24"/>
        </w:rPr>
      </w:pPr>
      <w:r w:rsidRPr="00FC4B3D">
        <w:rPr>
          <w:rFonts w:ascii="Garamond" w:hAnsi="Garamond" w:cs="Times New Roman"/>
          <w:sz w:val="24"/>
          <w:szCs w:val="24"/>
        </w:rPr>
        <w:t xml:space="preserve">Charles Travis, in his </w:t>
      </w:r>
      <w:r w:rsidRPr="00FC4B3D">
        <w:rPr>
          <w:rFonts w:ascii="Garamond" w:hAnsi="Garamond" w:cs="Times New Roman"/>
          <w:i/>
          <w:sz w:val="24"/>
          <w:szCs w:val="24"/>
        </w:rPr>
        <w:t>The Uses of Sense</w:t>
      </w:r>
      <w:r w:rsidRPr="00FC4B3D">
        <w:rPr>
          <w:rFonts w:ascii="Garamond" w:hAnsi="Garamond" w:cs="Times New Roman"/>
          <w:sz w:val="24"/>
          <w:szCs w:val="24"/>
        </w:rPr>
        <w:t xml:space="preserve"> (1989), has argued that Wittgenstein held that “A knows that </w:t>
      </w:r>
      <w:r w:rsidR="00C65DEA" w:rsidRPr="00FC4B3D">
        <w:rPr>
          <w:rFonts w:ascii="Garamond" w:hAnsi="Garamond" w:cs="Times New Roman"/>
          <w:i/>
          <w:sz w:val="24"/>
          <w:szCs w:val="24"/>
        </w:rPr>
        <w:t>p</w:t>
      </w:r>
      <w:r w:rsidRPr="00FC4B3D">
        <w:rPr>
          <w:rFonts w:ascii="Garamond" w:hAnsi="Garamond" w:cs="Times New Roman"/>
          <w:sz w:val="24"/>
          <w:szCs w:val="24"/>
        </w:rPr>
        <w:t>” can express many different thoughts – viz. various truth-conditions – on different contexts of its use. However, he bas</w:t>
      </w:r>
      <w:r w:rsidR="00D9035B" w:rsidRPr="00FC4B3D">
        <w:rPr>
          <w:rFonts w:ascii="Garamond" w:hAnsi="Garamond" w:cs="Times New Roman"/>
          <w:sz w:val="24"/>
          <w:szCs w:val="24"/>
        </w:rPr>
        <w:t>e</w:t>
      </w:r>
      <w:r w:rsidRPr="00FC4B3D">
        <w:rPr>
          <w:rFonts w:ascii="Garamond" w:hAnsi="Garamond" w:cs="Times New Roman"/>
          <w:sz w:val="24"/>
          <w:szCs w:val="24"/>
        </w:rPr>
        <w:t xml:space="preserve">s his interpretation on a passage where Wittgenstein is </w:t>
      </w:r>
      <w:proofErr w:type="gramStart"/>
      <w:r w:rsidRPr="00FC4B3D">
        <w:rPr>
          <w:rFonts w:ascii="Garamond" w:hAnsi="Garamond" w:cs="Times New Roman"/>
          <w:sz w:val="24"/>
          <w:szCs w:val="24"/>
        </w:rPr>
        <w:t>actually discussing</w:t>
      </w:r>
      <w:proofErr w:type="gramEnd"/>
      <w:r w:rsidRPr="00FC4B3D">
        <w:rPr>
          <w:rFonts w:ascii="Garamond" w:hAnsi="Garamond" w:cs="Times New Roman"/>
          <w:sz w:val="24"/>
          <w:szCs w:val="24"/>
        </w:rPr>
        <w:t xml:space="preserve"> a different example, i.e. “I’m here”.</w:t>
      </w:r>
    </w:p>
    <w:p w14:paraId="0D6FD853" w14:textId="77777777" w:rsidR="00EC2081" w:rsidRPr="00FC4B3D" w:rsidRDefault="00EC2081" w:rsidP="00591AAB">
      <w:pPr>
        <w:spacing w:after="0" w:line="360" w:lineRule="auto"/>
        <w:jc w:val="both"/>
        <w:rPr>
          <w:rFonts w:ascii="Garamond" w:hAnsi="Garamond" w:cs="Times New Roman"/>
          <w:sz w:val="24"/>
          <w:szCs w:val="24"/>
        </w:rPr>
      </w:pPr>
    </w:p>
    <w:p w14:paraId="16CAA84B" w14:textId="1131BDF8" w:rsidR="00EC2081" w:rsidRPr="00FC4B3D" w:rsidRDefault="00EC2081" w:rsidP="0094375D">
      <w:pPr>
        <w:spacing w:after="0" w:line="360" w:lineRule="auto"/>
        <w:ind w:left="851"/>
        <w:jc w:val="both"/>
        <w:rPr>
          <w:rFonts w:ascii="Garamond" w:hAnsi="Garamond" w:cs="Times New Roman"/>
          <w:sz w:val="24"/>
          <w:szCs w:val="24"/>
        </w:rPr>
      </w:pPr>
      <w:r w:rsidRPr="00FC4B3D">
        <w:rPr>
          <w:rFonts w:ascii="Garamond" w:hAnsi="Garamond" w:cs="Times New Roman"/>
          <w:sz w:val="24"/>
          <w:szCs w:val="24"/>
        </w:rPr>
        <w:lastRenderedPageBreak/>
        <w:t xml:space="preserve">Just as the words “I am here” have a meaning only in certain contexts, and not when I say them to someone who is sitting in front of me and sees me clearly,—and not because they are superfluous, but because their meaning is not </w:t>
      </w:r>
      <w:r w:rsidRPr="00FC4B3D">
        <w:rPr>
          <w:rFonts w:ascii="Garamond" w:hAnsi="Garamond" w:cs="Times New Roman"/>
          <w:i/>
          <w:sz w:val="24"/>
          <w:szCs w:val="24"/>
        </w:rPr>
        <w:t>determined</w:t>
      </w:r>
      <w:r w:rsidRPr="00FC4B3D">
        <w:rPr>
          <w:rFonts w:ascii="Garamond" w:hAnsi="Garamond" w:cs="Times New Roman"/>
          <w:sz w:val="24"/>
          <w:szCs w:val="24"/>
        </w:rPr>
        <w:t xml:space="preserve"> by the situation, yet stands in need of such a determination (OC 348)</w:t>
      </w:r>
    </w:p>
    <w:p w14:paraId="3C5197CE" w14:textId="77777777" w:rsidR="00D9035B" w:rsidRPr="00FC4B3D" w:rsidRDefault="00D9035B" w:rsidP="0094375D">
      <w:pPr>
        <w:spacing w:after="0" w:line="360" w:lineRule="auto"/>
        <w:ind w:left="851"/>
        <w:jc w:val="both"/>
        <w:rPr>
          <w:rFonts w:ascii="Garamond" w:hAnsi="Garamond" w:cs="Times New Roman"/>
          <w:sz w:val="24"/>
          <w:szCs w:val="24"/>
        </w:rPr>
      </w:pPr>
    </w:p>
    <w:p w14:paraId="77A70B4D" w14:textId="77777777" w:rsidR="00EC2081" w:rsidRPr="00FC4B3D" w:rsidRDefault="00EC2081" w:rsidP="00591AAB">
      <w:pPr>
        <w:spacing w:after="0" w:line="360" w:lineRule="auto"/>
        <w:jc w:val="both"/>
        <w:rPr>
          <w:rFonts w:ascii="Garamond" w:hAnsi="Garamond" w:cs="Times New Roman"/>
          <w:sz w:val="24"/>
          <w:szCs w:val="24"/>
        </w:rPr>
      </w:pPr>
      <w:r w:rsidRPr="00FC4B3D">
        <w:rPr>
          <w:rFonts w:ascii="Garamond" w:hAnsi="Garamond" w:cs="Times New Roman"/>
          <w:sz w:val="24"/>
          <w:szCs w:val="24"/>
        </w:rPr>
        <w:t xml:space="preserve">so too, the comparison goes, do the words “I know that that’s a tree” uttered when one is clearly in view of a tree (cf. OC 347). Travis’ idea is that, unless we look at context, the truth-conditions of a given utterance of those words are </w:t>
      </w:r>
      <w:r w:rsidRPr="00FC4B3D">
        <w:rPr>
          <w:rFonts w:ascii="Garamond" w:hAnsi="Garamond" w:cs="Times New Roman"/>
          <w:i/>
          <w:sz w:val="24"/>
          <w:szCs w:val="24"/>
        </w:rPr>
        <w:t>underdetermined</w:t>
      </w:r>
      <w:r w:rsidRPr="00FC4B3D">
        <w:rPr>
          <w:rFonts w:ascii="Garamond" w:hAnsi="Garamond" w:cs="Times New Roman"/>
          <w:sz w:val="24"/>
          <w:szCs w:val="24"/>
        </w:rPr>
        <w:t>. Hence, it is only by considering the context that we can find out which thought they express and establish whether they are used to express a truth or a falsity.</w:t>
      </w:r>
    </w:p>
    <w:p w14:paraId="5E6982CE" w14:textId="2994729C" w:rsidR="00EC2081" w:rsidRPr="00FC4B3D" w:rsidRDefault="00EC2081" w:rsidP="007E299C">
      <w:pPr>
        <w:spacing w:after="0" w:line="360" w:lineRule="auto"/>
        <w:ind w:firstLine="720"/>
        <w:jc w:val="both"/>
        <w:rPr>
          <w:rFonts w:ascii="Garamond" w:hAnsi="Garamond" w:cs="Times New Roman"/>
          <w:sz w:val="24"/>
          <w:szCs w:val="24"/>
        </w:rPr>
      </w:pPr>
      <w:r w:rsidRPr="00FC4B3D">
        <w:rPr>
          <w:rFonts w:ascii="Garamond" w:hAnsi="Garamond" w:cs="Times New Roman"/>
          <w:sz w:val="24"/>
          <w:szCs w:val="24"/>
        </w:rPr>
        <w:t xml:space="preserve">I find this suggestion odd for </w:t>
      </w:r>
      <w:proofErr w:type="gramStart"/>
      <w:r w:rsidRPr="00FC4B3D">
        <w:rPr>
          <w:rFonts w:ascii="Garamond" w:hAnsi="Garamond" w:cs="Times New Roman"/>
          <w:sz w:val="24"/>
          <w:szCs w:val="24"/>
        </w:rPr>
        <w:t>a</w:t>
      </w:r>
      <w:r w:rsidR="00183D86" w:rsidRPr="00FC4B3D">
        <w:rPr>
          <w:rFonts w:ascii="Garamond" w:hAnsi="Garamond" w:cs="Times New Roman"/>
          <w:sz w:val="24"/>
          <w:szCs w:val="24"/>
        </w:rPr>
        <w:t xml:space="preserve"> number of</w:t>
      </w:r>
      <w:proofErr w:type="gramEnd"/>
      <w:r w:rsidR="00183D86" w:rsidRPr="00FC4B3D">
        <w:rPr>
          <w:rFonts w:ascii="Garamond" w:hAnsi="Garamond" w:cs="Times New Roman"/>
          <w:sz w:val="24"/>
          <w:szCs w:val="24"/>
        </w:rPr>
        <w:t xml:space="preserve"> reasons. First</w:t>
      </w:r>
      <w:r w:rsidRPr="00FC4B3D">
        <w:rPr>
          <w:rFonts w:ascii="Garamond" w:hAnsi="Garamond" w:cs="Times New Roman"/>
          <w:sz w:val="24"/>
          <w:szCs w:val="24"/>
        </w:rPr>
        <w:t xml:space="preserve">, I think Wittgenstein’s view is more radical than Travis makes of it. For in the passage quoted above Wittgenstein is saying that outside a specific context of use, those words have </w:t>
      </w:r>
      <w:r w:rsidRPr="00FC4B3D">
        <w:rPr>
          <w:rFonts w:ascii="Garamond" w:hAnsi="Garamond" w:cs="Times New Roman"/>
          <w:i/>
          <w:sz w:val="24"/>
          <w:szCs w:val="24"/>
        </w:rPr>
        <w:t>no meaning</w:t>
      </w:r>
      <w:r w:rsidRPr="00FC4B3D">
        <w:rPr>
          <w:rFonts w:ascii="Garamond" w:hAnsi="Garamond" w:cs="Times New Roman"/>
          <w:sz w:val="24"/>
          <w:szCs w:val="24"/>
        </w:rPr>
        <w:t>. Using a piece of classical semanticist</w:t>
      </w:r>
      <w:r w:rsidR="00D9035B" w:rsidRPr="00FC4B3D">
        <w:rPr>
          <w:rFonts w:ascii="Garamond" w:hAnsi="Garamond" w:cs="Times New Roman"/>
          <w:sz w:val="24"/>
          <w:szCs w:val="24"/>
        </w:rPr>
        <w:t>’s</w:t>
      </w:r>
      <w:r w:rsidRPr="00FC4B3D">
        <w:rPr>
          <w:rFonts w:ascii="Garamond" w:hAnsi="Garamond" w:cs="Times New Roman"/>
          <w:sz w:val="24"/>
          <w:szCs w:val="24"/>
        </w:rPr>
        <w:t xml:space="preserve"> terminology, I take that to entail that they don’t even have a role or a character. Therefore, they naturally fail to determine a thought, i.e. specific truth-conditions. Travis, on the contrary, seems to think that they have a meaning, on Wittgenstein’s view of the matter, while context </w:t>
      </w:r>
      <w:proofErr w:type="gramStart"/>
      <w:r w:rsidRPr="00FC4B3D">
        <w:rPr>
          <w:rFonts w:ascii="Garamond" w:hAnsi="Garamond" w:cs="Times New Roman"/>
          <w:sz w:val="24"/>
          <w:szCs w:val="24"/>
        </w:rPr>
        <w:t>has to</w:t>
      </w:r>
      <w:proofErr w:type="gramEnd"/>
      <w:r w:rsidRPr="00FC4B3D">
        <w:rPr>
          <w:rFonts w:ascii="Garamond" w:hAnsi="Garamond" w:cs="Times New Roman"/>
          <w:sz w:val="24"/>
          <w:szCs w:val="24"/>
        </w:rPr>
        <w:t xml:space="preserve"> be invoked in order for them to express a determinate thought</w:t>
      </w:r>
      <w:r w:rsidR="002939A1" w:rsidRPr="00FC4B3D">
        <w:rPr>
          <w:rFonts w:ascii="Garamond" w:hAnsi="Garamond" w:cs="Times New Roman"/>
          <w:sz w:val="24"/>
          <w:szCs w:val="24"/>
        </w:rPr>
        <w:t>, i.e. determinate truth-conditions</w:t>
      </w:r>
      <w:r w:rsidRPr="00FC4B3D">
        <w:rPr>
          <w:rFonts w:ascii="Garamond" w:hAnsi="Garamond" w:cs="Times New Roman"/>
          <w:sz w:val="24"/>
          <w:szCs w:val="24"/>
        </w:rPr>
        <w:t xml:space="preserve">. This, however, wouldn’t be very surprising, since in OC 348 </w:t>
      </w:r>
      <w:proofErr w:type="spellStart"/>
      <w:r w:rsidRPr="00FC4B3D">
        <w:rPr>
          <w:rFonts w:ascii="Garamond" w:hAnsi="Garamond" w:cs="Times New Roman"/>
          <w:sz w:val="24"/>
          <w:szCs w:val="24"/>
        </w:rPr>
        <w:t>indexicals</w:t>
      </w:r>
      <w:proofErr w:type="spellEnd"/>
      <w:r w:rsidRPr="00FC4B3D">
        <w:rPr>
          <w:rFonts w:ascii="Garamond" w:hAnsi="Garamond" w:cs="Times New Roman"/>
          <w:sz w:val="24"/>
          <w:szCs w:val="24"/>
        </w:rPr>
        <w:t xml:space="preserve"> </w:t>
      </w:r>
      <w:r w:rsidR="007E299C" w:rsidRPr="00FC4B3D">
        <w:rPr>
          <w:rFonts w:ascii="Garamond" w:hAnsi="Garamond" w:cs="Times New Roman"/>
          <w:sz w:val="24"/>
          <w:szCs w:val="24"/>
        </w:rPr>
        <w:t xml:space="preserve">such as ‘I’ and ‘here’ </w:t>
      </w:r>
      <w:r w:rsidRPr="00FC4B3D">
        <w:rPr>
          <w:rFonts w:ascii="Garamond" w:hAnsi="Garamond" w:cs="Times New Roman"/>
          <w:sz w:val="24"/>
          <w:szCs w:val="24"/>
        </w:rPr>
        <w:t>occur.</w:t>
      </w:r>
      <w:r w:rsidR="002939A1" w:rsidRPr="00FC4B3D">
        <w:rPr>
          <w:rFonts w:ascii="Garamond" w:hAnsi="Garamond" w:cs="Times New Roman"/>
          <w:sz w:val="24"/>
          <w:szCs w:val="24"/>
        </w:rPr>
        <w:t xml:space="preserve"> I</w:t>
      </w:r>
      <w:r w:rsidR="007E299C" w:rsidRPr="00FC4B3D">
        <w:rPr>
          <w:rFonts w:ascii="Garamond" w:hAnsi="Garamond" w:cs="Times New Roman"/>
          <w:sz w:val="24"/>
          <w:szCs w:val="24"/>
        </w:rPr>
        <w:t xml:space="preserve">t is </w:t>
      </w:r>
      <w:r w:rsidR="002939A1" w:rsidRPr="00FC4B3D">
        <w:rPr>
          <w:rFonts w:ascii="Garamond" w:hAnsi="Garamond" w:cs="Times New Roman"/>
          <w:sz w:val="24"/>
          <w:szCs w:val="24"/>
        </w:rPr>
        <w:t xml:space="preserve">indeed </w:t>
      </w:r>
      <w:r w:rsidR="007E299C" w:rsidRPr="00FC4B3D">
        <w:rPr>
          <w:rFonts w:ascii="Garamond" w:hAnsi="Garamond" w:cs="Times New Roman"/>
          <w:sz w:val="24"/>
          <w:szCs w:val="24"/>
        </w:rPr>
        <w:t xml:space="preserve">commonplace that context </w:t>
      </w:r>
      <w:proofErr w:type="gramStart"/>
      <w:r w:rsidR="007E299C" w:rsidRPr="00FC4B3D">
        <w:rPr>
          <w:rFonts w:ascii="Garamond" w:hAnsi="Garamond" w:cs="Times New Roman"/>
          <w:sz w:val="24"/>
          <w:szCs w:val="24"/>
        </w:rPr>
        <w:t>has to</w:t>
      </w:r>
      <w:proofErr w:type="gramEnd"/>
      <w:r w:rsidR="007E299C" w:rsidRPr="00FC4B3D">
        <w:rPr>
          <w:rFonts w:ascii="Garamond" w:hAnsi="Garamond" w:cs="Times New Roman"/>
          <w:sz w:val="24"/>
          <w:szCs w:val="24"/>
        </w:rPr>
        <w:t xml:space="preserve"> be invoked to determine what thought is expressed in each occurrence of their use. Yet, those words are typically considered to have an invariant meaning or character, or role, which, together with a context (formed by a subject</w:t>
      </w:r>
      <w:r w:rsidR="002939A1" w:rsidRPr="00FC4B3D">
        <w:rPr>
          <w:rFonts w:ascii="Garamond" w:hAnsi="Garamond" w:cs="Times New Roman"/>
          <w:sz w:val="24"/>
          <w:szCs w:val="24"/>
        </w:rPr>
        <w:t>,</w:t>
      </w:r>
      <w:r w:rsidR="007E299C" w:rsidRPr="00FC4B3D">
        <w:rPr>
          <w:rFonts w:ascii="Garamond" w:hAnsi="Garamond" w:cs="Times New Roman"/>
          <w:sz w:val="24"/>
          <w:szCs w:val="24"/>
        </w:rPr>
        <w:t xml:space="preserve"> a place and a time), manages to express a determinate thought</w:t>
      </w:r>
      <w:r w:rsidR="002939A1" w:rsidRPr="00FC4B3D">
        <w:rPr>
          <w:rFonts w:ascii="Garamond" w:hAnsi="Garamond" w:cs="Times New Roman"/>
          <w:sz w:val="24"/>
          <w:szCs w:val="24"/>
        </w:rPr>
        <w:t xml:space="preserve"> (that is, determinate truth-conditions)</w:t>
      </w:r>
      <w:r w:rsidR="007E299C" w:rsidRPr="00FC4B3D">
        <w:rPr>
          <w:rFonts w:ascii="Garamond" w:hAnsi="Garamond" w:cs="Times New Roman"/>
          <w:sz w:val="24"/>
          <w:szCs w:val="24"/>
        </w:rPr>
        <w:t>, on each occasion of utterance.</w:t>
      </w:r>
      <w:r w:rsidRPr="00FC4B3D">
        <w:rPr>
          <w:rFonts w:ascii="Garamond" w:hAnsi="Garamond" w:cs="Times New Roman"/>
          <w:sz w:val="24"/>
          <w:szCs w:val="24"/>
        </w:rPr>
        <w:t xml:space="preserve"> Yet, clearly, Wittgenstein’s remark is meant to make a stronger and surely more contentious claim.</w:t>
      </w:r>
    </w:p>
    <w:p w14:paraId="10CC002A" w14:textId="77777777" w:rsidR="00EC2081" w:rsidRPr="00FC4B3D" w:rsidRDefault="00E635B4" w:rsidP="007E299C">
      <w:pPr>
        <w:spacing w:after="0" w:line="360" w:lineRule="auto"/>
        <w:ind w:firstLine="720"/>
        <w:jc w:val="both"/>
        <w:rPr>
          <w:rFonts w:ascii="Garamond" w:hAnsi="Garamond" w:cs="Times New Roman"/>
          <w:sz w:val="24"/>
          <w:szCs w:val="24"/>
        </w:rPr>
      </w:pPr>
      <w:r w:rsidRPr="00FC4B3D">
        <w:rPr>
          <w:rFonts w:ascii="Garamond" w:hAnsi="Garamond" w:cs="Times New Roman"/>
          <w:sz w:val="24"/>
          <w:szCs w:val="24"/>
        </w:rPr>
        <w:t>Second</w:t>
      </w:r>
      <w:r w:rsidR="007E299C" w:rsidRPr="00FC4B3D">
        <w:rPr>
          <w:rFonts w:ascii="Garamond" w:hAnsi="Garamond" w:cs="Times New Roman"/>
          <w:sz w:val="24"/>
          <w:szCs w:val="24"/>
        </w:rPr>
        <w:t xml:space="preserve"> and connectedly, </w:t>
      </w:r>
      <w:r w:rsidR="00EC2081" w:rsidRPr="00FC4B3D">
        <w:rPr>
          <w:rFonts w:ascii="Garamond" w:hAnsi="Garamond" w:cs="Times New Roman"/>
          <w:sz w:val="24"/>
          <w:szCs w:val="24"/>
        </w:rPr>
        <w:t xml:space="preserve">the only kind of “contextualism” envisaged by Wittgenstein </w:t>
      </w:r>
      <w:r w:rsidR="007E299C" w:rsidRPr="00FC4B3D">
        <w:rPr>
          <w:rFonts w:ascii="Garamond" w:hAnsi="Garamond" w:cs="Times New Roman"/>
          <w:sz w:val="24"/>
          <w:szCs w:val="24"/>
        </w:rPr>
        <w:t>concerns</w:t>
      </w:r>
      <w:r w:rsidR="00EC2081" w:rsidRPr="00FC4B3D">
        <w:rPr>
          <w:rFonts w:ascii="Garamond" w:hAnsi="Garamond" w:cs="Times New Roman"/>
          <w:sz w:val="24"/>
          <w:szCs w:val="24"/>
        </w:rPr>
        <w:t xml:space="preserve"> the fact that in different contexts “I/A know(s) that </w:t>
      </w:r>
      <w:r w:rsidR="00C65DEA" w:rsidRPr="00FC4B3D">
        <w:rPr>
          <w:rFonts w:ascii="Garamond" w:hAnsi="Garamond" w:cs="Times New Roman"/>
          <w:i/>
          <w:sz w:val="24"/>
          <w:szCs w:val="24"/>
        </w:rPr>
        <w:t>p</w:t>
      </w:r>
      <w:r w:rsidR="00EC2081" w:rsidRPr="00FC4B3D">
        <w:rPr>
          <w:rFonts w:ascii="Garamond" w:hAnsi="Garamond" w:cs="Times New Roman"/>
          <w:sz w:val="24"/>
          <w:szCs w:val="24"/>
        </w:rPr>
        <w:t xml:space="preserve">” could </w:t>
      </w:r>
      <w:proofErr w:type="gramStart"/>
      <w:r w:rsidR="00EC2081" w:rsidRPr="00FC4B3D">
        <w:rPr>
          <w:rFonts w:ascii="Garamond" w:hAnsi="Garamond" w:cs="Times New Roman"/>
          <w:sz w:val="24"/>
          <w:szCs w:val="24"/>
        </w:rPr>
        <w:t xml:space="preserve">actually </w:t>
      </w:r>
      <w:r w:rsidR="00EC2081" w:rsidRPr="00FC4B3D">
        <w:rPr>
          <w:rFonts w:ascii="Garamond" w:hAnsi="Garamond" w:cs="Times New Roman"/>
          <w:i/>
          <w:sz w:val="24"/>
          <w:szCs w:val="24"/>
        </w:rPr>
        <w:t>mean</w:t>
      </w:r>
      <w:proofErr w:type="gramEnd"/>
      <w:r w:rsidR="00EC2081" w:rsidRPr="00FC4B3D">
        <w:rPr>
          <w:rFonts w:ascii="Garamond" w:hAnsi="Garamond" w:cs="Times New Roman"/>
          <w:sz w:val="24"/>
          <w:szCs w:val="24"/>
        </w:rPr>
        <w:t xml:space="preserve"> different things. </w:t>
      </w:r>
      <w:proofErr w:type="gramStart"/>
      <w:r w:rsidR="00EC2081" w:rsidRPr="00FC4B3D">
        <w:rPr>
          <w:rFonts w:ascii="Garamond" w:hAnsi="Garamond" w:cs="Times New Roman"/>
          <w:sz w:val="24"/>
          <w:szCs w:val="24"/>
        </w:rPr>
        <w:t>In particular, either</w:t>
      </w:r>
      <w:proofErr w:type="gramEnd"/>
      <w:r w:rsidR="00EC2081" w:rsidRPr="00FC4B3D">
        <w:rPr>
          <w:rFonts w:ascii="Garamond" w:hAnsi="Garamond" w:cs="Times New Roman"/>
          <w:sz w:val="24"/>
          <w:szCs w:val="24"/>
        </w:rPr>
        <w:t xml:space="preserve"> an epistemic relationship between the subject and </w:t>
      </w:r>
      <w:r w:rsidR="00C65DEA" w:rsidRPr="00FC4B3D">
        <w:rPr>
          <w:rFonts w:ascii="Garamond" w:hAnsi="Garamond" w:cs="Times New Roman"/>
          <w:sz w:val="24"/>
          <w:szCs w:val="24"/>
        </w:rPr>
        <w:t>“p”</w:t>
      </w:r>
      <w:r w:rsidR="00EC2081" w:rsidRPr="00FC4B3D">
        <w:rPr>
          <w:rFonts w:ascii="Garamond" w:hAnsi="Garamond" w:cs="Times New Roman"/>
          <w:sz w:val="24"/>
          <w:szCs w:val="24"/>
        </w:rPr>
        <w:t xml:space="preserve">; or else, a grammatical remark where no epistemic property is attributed to a subject. </w:t>
      </w:r>
      <w:r w:rsidR="007E299C" w:rsidRPr="00FC4B3D">
        <w:rPr>
          <w:rFonts w:ascii="Garamond" w:hAnsi="Garamond" w:cs="Times New Roman"/>
          <w:sz w:val="24"/>
          <w:szCs w:val="24"/>
        </w:rPr>
        <w:t>Alternatively, those words w</w:t>
      </w:r>
      <w:r w:rsidR="00EC2081" w:rsidRPr="00FC4B3D">
        <w:rPr>
          <w:rFonts w:ascii="Garamond" w:hAnsi="Garamond" w:cs="Times New Roman"/>
          <w:sz w:val="24"/>
          <w:szCs w:val="24"/>
        </w:rPr>
        <w:t>ould fail to mean anything at all, when they are used by philosophers such as Moore, irrespective of all criteria that govern their employment</w:t>
      </w:r>
      <w:r w:rsidR="007E299C" w:rsidRPr="00FC4B3D">
        <w:rPr>
          <w:rFonts w:ascii="Garamond" w:hAnsi="Garamond" w:cs="Times New Roman"/>
          <w:sz w:val="24"/>
          <w:szCs w:val="24"/>
        </w:rPr>
        <w:t xml:space="preserve"> in the ordinary and in the grammatical case. Furthermore, it is to be stressed that o</w:t>
      </w:r>
      <w:r w:rsidR="00EC2081" w:rsidRPr="00FC4B3D">
        <w:rPr>
          <w:rFonts w:ascii="Garamond" w:hAnsi="Garamond" w:cs="Times New Roman"/>
          <w:sz w:val="24"/>
          <w:szCs w:val="24"/>
        </w:rPr>
        <w:t xml:space="preserve">nly in the first case could those words express a Fregean thought, i.e. something susceptible of being either true or false. For in the second case, the role of the ascription would be that of expressing a rule, hence nothing which could either be true </w:t>
      </w:r>
      <w:r w:rsidR="00EC2081" w:rsidRPr="00FC4B3D">
        <w:rPr>
          <w:rFonts w:ascii="Garamond" w:hAnsi="Garamond" w:cs="Times New Roman"/>
          <w:sz w:val="24"/>
          <w:szCs w:val="24"/>
        </w:rPr>
        <w:lastRenderedPageBreak/>
        <w:t>or false</w:t>
      </w:r>
      <w:r w:rsidR="002939A1" w:rsidRPr="00FC4B3D">
        <w:rPr>
          <w:rFonts w:ascii="Garamond" w:hAnsi="Garamond" w:cs="Times New Roman"/>
          <w:sz w:val="24"/>
          <w:szCs w:val="24"/>
        </w:rPr>
        <w:t>, according to Wittgenstein</w:t>
      </w:r>
      <w:r w:rsidR="00EC2081" w:rsidRPr="00FC4B3D">
        <w:rPr>
          <w:rFonts w:ascii="Garamond" w:hAnsi="Garamond" w:cs="Times New Roman"/>
          <w:sz w:val="24"/>
          <w:szCs w:val="24"/>
        </w:rPr>
        <w:t>;</w:t>
      </w:r>
      <w:r w:rsidR="007E299C" w:rsidRPr="00FC4B3D">
        <w:rPr>
          <w:rStyle w:val="FootnoteReference"/>
          <w:rFonts w:ascii="Garamond" w:hAnsi="Garamond" w:cs="Times New Roman"/>
          <w:sz w:val="24"/>
          <w:szCs w:val="24"/>
        </w:rPr>
        <w:footnoteReference w:id="15"/>
      </w:r>
      <w:r w:rsidR="00EC2081" w:rsidRPr="00FC4B3D">
        <w:rPr>
          <w:rFonts w:ascii="Garamond" w:hAnsi="Garamond" w:cs="Times New Roman"/>
          <w:sz w:val="24"/>
          <w:szCs w:val="24"/>
        </w:rPr>
        <w:t xml:space="preserve"> and, in the third, those words would fail to have a meaning altogether and would then express no Fregean thought at all.</w:t>
      </w:r>
    </w:p>
    <w:p w14:paraId="7D2F113D" w14:textId="77777777" w:rsidR="00EC2081" w:rsidRPr="00FC4B3D" w:rsidRDefault="00EC2081" w:rsidP="00E91FBA">
      <w:pPr>
        <w:spacing w:after="0" w:line="360" w:lineRule="auto"/>
        <w:ind w:firstLine="360"/>
        <w:jc w:val="both"/>
        <w:rPr>
          <w:rFonts w:ascii="Garamond" w:hAnsi="Garamond" w:cs="Times New Roman"/>
          <w:sz w:val="24"/>
          <w:szCs w:val="24"/>
        </w:rPr>
      </w:pPr>
      <w:r w:rsidRPr="00FC4B3D">
        <w:rPr>
          <w:rFonts w:ascii="Garamond" w:hAnsi="Garamond" w:cs="Times New Roman"/>
          <w:sz w:val="24"/>
          <w:szCs w:val="24"/>
        </w:rPr>
        <w:t xml:space="preserve">Lastly, contrary to Travis (1989, 156-66), I find no suggestion in Wittgenstein that, depending on various factors, such as our practical interests and world-involving conditions, an utterance of </w:t>
      </w:r>
      <w:r w:rsidR="002939A1" w:rsidRPr="00FC4B3D">
        <w:rPr>
          <w:rFonts w:ascii="Garamond" w:hAnsi="Garamond" w:cs="Times New Roman"/>
          <w:sz w:val="24"/>
          <w:szCs w:val="24"/>
        </w:rPr>
        <w:t xml:space="preserve">“I Know” </w:t>
      </w:r>
      <w:r w:rsidRPr="00FC4B3D">
        <w:rPr>
          <w:rFonts w:ascii="Garamond" w:hAnsi="Garamond" w:cs="Times New Roman"/>
          <w:sz w:val="24"/>
          <w:szCs w:val="24"/>
        </w:rPr>
        <w:t xml:space="preserve">could </w:t>
      </w:r>
      <w:proofErr w:type="gramStart"/>
      <w:r w:rsidRPr="00FC4B3D">
        <w:rPr>
          <w:rFonts w:ascii="Garamond" w:hAnsi="Garamond" w:cs="Times New Roman"/>
          <w:sz w:val="24"/>
          <w:szCs w:val="24"/>
        </w:rPr>
        <w:t>actually express</w:t>
      </w:r>
      <w:proofErr w:type="gramEnd"/>
      <w:r w:rsidRPr="00FC4B3D">
        <w:rPr>
          <w:rFonts w:ascii="Garamond" w:hAnsi="Garamond" w:cs="Times New Roman"/>
          <w:sz w:val="24"/>
          <w:szCs w:val="24"/>
        </w:rPr>
        <w:t xml:space="preserve"> different truth-conditions. Let us illustrate this idea with a classic example. Consider a subject who needs to deposit a check in the bank by Friday. Now, depending on whether it is a matter of urgency or not and, therefore, on whether certain defeaters are salient to the case, a</w:t>
      </w:r>
      <w:r w:rsidR="00183D86" w:rsidRPr="00FC4B3D">
        <w:rPr>
          <w:rFonts w:ascii="Garamond" w:hAnsi="Garamond" w:cs="Times New Roman"/>
          <w:sz w:val="24"/>
          <w:szCs w:val="24"/>
        </w:rPr>
        <w:t>n ascription of knowledge to her (either made by the subject her</w:t>
      </w:r>
      <w:r w:rsidRPr="00FC4B3D">
        <w:rPr>
          <w:rFonts w:ascii="Garamond" w:hAnsi="Garamond" w:cs="Times New Roman"/>
          <w:sz w:val="24"/>
          <w:szCs w:val="24"/>
        </w:rPr>
        <w:t xml:space="preserve">self or by a third party) regarding whether the bank is going to be open on Fridays, could be either true or false. However, as remarked, given the textual evidence at our disposal, </w:t>
      </w:r>
      <w:r w:rsidR="00E91FBA" w:rsidRPr="00FC4B3D">
        <w:rPr>
          <w:rFonts w:ascii="Garamond" w:hAnsi="Garamond" w:cs="Times New Roman"/>
          <w:sz w:val="24"/>
          <w:szCs w:val="24"/>
        </w:rPr>
        <w:t xml:space="preserve">there are </w:t>
      </w:r>
      <w:r w:rsidRPr="00FC4B3D">
        <w:rPr>
          <w:rFonts w:ascii="Garamond" w:hAnsi="Garamond" w:cs="Times New Roman"/>
          <w:sz w:val="24"/>
          <w:szCs w:val="24"/>
        </w:rPr>
        <w:t xml:space="preserve">no hints of this sort in </w:t>
      </w:r>
      <w:r w:rsidRPr="00FC4B3D">
        <w:rPr>
          <w:rFonts w:ascii="Garamond" w:hAnsi="Garamond" w:cs="Times New Roman"/>
          <w:i/>
          <w:sz w:val="24"/>
          <w:szCs w:val="24"/>
        </w:rPr>
        <w:t>On Certainty</w:t>
      </w:r>
      <w:r w:rsidR="00E91FBA" w:rsidRPr="00FC4B3D">
        <w:rPr>
          <w:rFonts w:ascii="Garamond" w:hAnsi="Garamond" w:cs="Times New Roman"/>
          <w:sz w:val="24"/>
          <w:szCs w:val="24"/>
        </w:rPr>
        <w:t>. For</w:t>
      </w:r>
      <w:r w:rsidRPr="00FC4B3D">
        <w:rPr>
          <w:rFonts w:ascii="Garamond" w:hAnsi="Garamond" w:cs="Times New Roman"/>
          <w:sz w:val="24"/>
          <w:szCs w:val="24"/>
        </w:rPr>
        <w:t xml:space="preserve"> Wittgenstei</w:t>
      </w:r>
      <w:r w:rsidR="00E91FBA" w:rsidRPr="00FC4B3D">
        <w:rPr>
          <w:rFonts w:ascii="Garamond" w:hAnsi="Garamond" w:cs="Times New Roman"/>
          <w:sz w:val="24"/>
          <w:szCs w:val="24"/>
        </w:rPr>
        <w:t xml:space="preserve">n </w:t>
      </w:r>
      <w:r w:rsidRPr="00FC4B3D">
        <w:rPr>
          <w:rFonts w:ascii="Garamond" w:hAnsi="Garamond" w:cs="Times New Roman"/>
          <w:sz w:val="24"/>
          <w:szCs w:val="24"/>
        </w:rPr>
        <w:t xml:space="preserve">doesn’t discuss such a kind of case and isn’t so much interested in knowledge </w:t>
      </w:r>
      <w:r w:rsidRPr="00FC4B3D">
        <w:rPr>
          <w:rFonts w:ascii="Garamond" w:hAnsi="Garamond" w:cs="Times New Roman"/>
          <w:i/>
          <w:sz w:val="24"/>
          <w:szCs w:val="24"/>
        </w:rPr>
        <w:t>per se</w:t>
      </w:r>
      <w:r w:rsidRPr="00FC4B3D">
        <w:rPr>
          <w:rFonts w:ascii="Garamond" w:hAnsi="Garamond" w:cs="Times New Roman"/>
          <w:sz w:val="24"/>
          <w:szCs w:val="24"/>
        </w:rPr>
        <w:t xml:space="preserve"> as in certainty. </w:t>
      </w:r>
      <w:r w:rsidR="00183D86" w:rsidRPr="00FC4B3D">
        <w:rPr>
          <w:rFonts w:ascii="Garamond" w:hAnsi="Garamond" w:cs="Times New Roman"/>
          <w:sz w:val="24"/>
          <w:szCs w:val="24"/>
        </w:rPr>
        <w:t>Thus</w:t>
      </w:r>
      <w:r w:rsidRPr="00FC4B3D">
        <w:rPr>
          <w:rFonts w:ascii="Garamond" w:hAnsi="Garamond" w:cs="Times New Roman"/>
          <w:sz w:val="24"/>
          <w:szCs w:val="24"/>
        </w:rPr>
        <w:t xml:space="preserve">, if it makes sense to describe Wittgenstein’s position in these anachronistic terms, </w:t>
      </w:r>
      <w:r w:rsidR="002939A1" w:rsidRPr="00FC4B3D">
        <w:rPr>
          <w:rFonts w:ascii="Garamond" w:hAnsi="Garamond" w:cs="Times New Roman"/>
          <w:sz w:val="24"/>
          <w:szCs w:val="24"/>
        </w:rPr>
        <w:t xml:space="preserve">it turns out that </w:t>
      </w:r>
      <w:r w:rsidRPr="00FC4B3D">
        <w:rPr>
          <w:rFonts w:ascii="Garamond" w:hAnsi="Garamond" w:cs="Times New Roman"/>
          <w:sz w:val="24"/>
          <w:szCs w:val="24"/>
        </w:rPr>
        <w:t xml:space="preserve">he </w:t>
      </w:r>
      <w:r w:rsidR="00E91FBA" w:rsidRPr="00FC4B3D">
        <w:rPr>
          <w:rFonts w:ascii="Garamond" w:hAnsi="Garamond" w:cs="Times New Roman"/>
          <w:sz w:val="24"/>
          <w:szCs w:val="24"/>
        </w:rPr>
        <w:t>was</w:t>
      </w:r>
      <w:r w:rsidRPr="00FC4B3D">
        <w:rPr>
          <w:rFonts w:ascii="Garamond" w:hAnsi="Garamond" w:cs="Times New Roman"/>
          <w:sz w:val="24"/>
          <w:szCs w:val="24"/>
        </w:rPr>
        <w:t xml:space="preserve"> more of an </w:t>
      </w:r>
      <w:proofErr w:type="spellStart"/>
      <w:r w:rsidRPr="00FC4B3D">
        <w:rPr>
          <w:rFonts w:ascii="Garamond" w:hAnsi="Garamond" w:cs="Times New Roman"/>
          <w:i/>
          <w:sz w:val="24"/>
          <w:szCs w:val="24"/>
        </w:rPr>
        <w:t>invariantist</w:t>
      </w:r>
      <w:proofErr w:type="spellEnd"/>
      <w:r w:rsidRPr="00FC4B3D">
        <w:rPr>
          <w:rFonts w:ascii="Garamond" w:hAnsi="Garamond" w:cs="Times New Roman"/>
          <w:sz w:val="24"/>
          <w:szCs w:val="24"/>
        </w:rPr>
        <w:t xml:space="preserve"> with respect to knowledge ascriptions than </w:t>
      </w:r>
      <w:r w:rsidR="00E91FBA" w:rsidRPr="00FC4B3D">
        <w:rPr>
          <w:rFonts w:ascii="Garamond" w:hAnsi="Garamond" w:cs="Times New Roman"/>
          <w:sz w:val="24"/>
          <w:szCs w:val="24"/>
        </w:rPr>
        <w:t>a contemporary contextualist</w:t>
      </w:r>
      <w:r w:rsidRPr="00FC4B3D">
        <w:rPr>
          <w:rFonts w:ascii="Garamond" w:hAnsi="Garamond" w:cs="Times New Roman"/>
          <w:sz w:val="24"/>
          <w:szCs w:val="24"/>
        </w:rPr>
        <w:t>.</w:t>
      </w:r>
      <w:r w:rsidR="00E91FBA" w:rsidRPr="00FC4B3D">
        <w:rPr>
          <w:rFonts w:ascii="Garamond" w:hAnsi="Garamond" w:cs="Times New Roman"/>
          <w:sz w:val="24"/>
          <w:szCs w:val="24"/>
        </w:rPr>
        <w:t xml:space="preserve"> That is, while a contextualist in his own way, he was not leaning towards anything resembling contemporary contextualism about knowledge ascriptions.</w:t>
      </w:r>
      <w:r w:rsidR="005C26EB" w:rsidRPr="00FC4B3D">
        <w:rPr>
          <w:rFonts w:ascii="Garamond" w:hAnsi="Garamond" w:cs="Times New Roman"/>
          <w:sz w:val="24"/>
          <w:szCs w:val="24"/>
        </w:rPr>
        <w:t xml:space="preserve"> I will return to Wittgenstein’s </w:t>
      </w:r>
      <w:proofErr w:type="spellStart"/>
      <w:r w:rsidR="005C26EB" w:rsidRPr="00FC4B3D">
        <w:rPr>
          <w:rFonts w:ascii="Garamond" w:hAnsi="Garamond" w:cs="Times New Roman"/>
          <w:sz w:val="24"/>
          <w:szCs w:val="24"/>
        </w:rPr>
        <w:t>invariantism</w:t>
      </w:r>
      <w:proofErr w:type="spellEnd"/>
      <w:r w:rsidR="005C26EB" w:rsidRPr="00FC4B3D">
        <w:rPr>
          <w:rFonts w:ascii="Garamond" w:hAnsi="Garamond" w:cs="Times New Roman"/>
          <w:sz w:val="24"/>
          <w:szCs w:val="24"/>
        </w:rPr>
        <w:t xml:space="preserve"> in the following</w:t>
      </w:r>
      <w:r w:rsidR="0002085C" w:rsidRPr="00FC4B3D">
        <w:rPr>
          <w:rFonts w:ascii="Garamond" w:hAnsi="Garamond" w:cs="Times New Roman"/>
          <w:sz w:val="24"/>
          <w:szCs w:val="24"/>
        </w:rPr>
        <w:t xml:space="preserve"> (sect. </w:t>
      </w:r>
      <w:r w:rsidR="0002085C" w:rsidRPr="00FC4B3D">
        <w:rPr>
          <w:rFonts w:ascii="Garamond" w:hAnsi="Garamond" w:cs="Times New Roman"/>
          <w:sz w:val="24"/>
          <w:szCs w:val="24"/>
          <w:highlight w:val="yellow"/>
        </w:rPr>
        <w:t>4</w:t>
      </w:r>
      <w:r w:rsidR="0002085C" w:rsidRPr="00FC4B3D">
        <w:rPr>
          <w:rFonts w:ascii="Garamond" w:hAnsi="Garamond" w:cs="Times New Roman"/>
          <w:sz w:val="24"/>
          <w:szCs w:val="24"/>
        </w:rPr>
        <w:t>)</w:t>
      </w:r>
      <w:r w:rsidR="005C26EB" w:rsidRPr="00FC4B3D">
        <w:rPr>
          <w:rFonts w:ascii="Garamond" w:hAnsi="Garamond" w:cs="Times New Roman"/>
          <w:sz w:val="24"/>
          <w:szCs w:val="24"/>
        </w:rPr>
        <w:t>.</w:t>
      </w:r>
    </w:p>
    <w:p w14:paraId="11B54407" w14:textId="77777777" w:rsidR="00E91FBA" w:rsidRPr="00FC4B3D" w:rsidRDefault="00E91FBA" w:rsidP="00E91FBA">
      <w:pPr>
        <w:spacing w:after="0" w:line="360" w:lineRule="auto"/>
        <w:jc w:val="both"/>
        <w:rPr>
          <w:rFonts w:ascii="Garamond" w:hAnsi="Garamond" w:cs="Times New Roman"/>
          <w:sz w:val="24"/>
          <w:szCs w:val="24"/>
        </w:rPr>
      </w:pPr>
    </w:p>
    <w:p w14:paraId="71FF858D" w14:textId="77777777" w:rsidR="00EC2081" w:rsidRPr="00FC4B3D" w:rsidRDefault="00EC2081" w:rsidP="00E576B6">
      <w:pPr>
        <w:pStyle w:val="ListParagraph"/>
        <w:numPr>
          <w:ilvl w:val="1"/>
          <w:numId w:val="1"/>
        </w:numPr>
        <w:spacing w:after="0" w:line="360" w:lineRule="auto"/>
        <w:jc w:val="both"/>
        <w:rPr>
          <w:rFonts w:ascii="Garamond" w:hAnsi="Garamond" w:cs="Times New Roman"/>
          <w:b/>
          <w:sz w:val="24"/>
          <w:szCs w:val="24"/>
        </w:rPr>
      </w:pPr>
      <w:r w:rsidRPr="00FC4B3D">
        <w:rPr>
          <w:rFonts w:ascii="Garamond" w:hAnsi="Garamond" w:cs="Times New Roman"/>
          <w:b/>
          <w:sz w:val="24"/>
          <w:szCs w:val="24"/>
        </w:rPr>
        <w:t>Williams</w:t>
      </w:r>
    </w:p>
    <w:p w14:paraId="72B35739" w14:textId="3EFD84F7" w:rsidR="00EC2081" w:rsidRPr="00FC4B3D" w:rsidRDefault="00482441" w:rsidP="00591AAB">
      <w:pPr>
        <w:spacing w:after="0" w:line="360" w:lineRule="auto"/>
        <w:jc w:val="both"/>
        <w:rPr>
          <w:rFonts w:ascii="Garamond" w:hAnsi="Garamond" w:cs="Times New Roman"/>
          <w:sz w:val="24"/>
          <w:szCs w:val="24"/>
        </w:rPr>
      </w:pPr>
      <w:r w:rsidRPr="00FC4B3D">
        <w:rPr>
          <w:rFonts w:ascii="Garamond" w:hAnsi="Garamond" w:cs="Times New Roman"/>
          <w:sz w:val="24"/>
          <w:szCs w:val="24"/>
        </w:rPr>
        <w:t>F</w:t>
      </w:r>
      <w:r w:rsidR="00EC2081" w:rsidRPr="00FC4B3D">
        <w:rPr>
          <w:rFonts w:ascii="Garamond" w:hAnsi="Garamond" w:cs="Times New Roman"/>
          <w:sz w:val="24"/>
          <w:szCs w:val="24"/>
        </w:rPr>
        <w:t xml:space="preserve">ollowing Michael Williams (2004a, b), </w:t>
      </w:r>
      <w:r w:rsidRPr="00FC4B3D">
        <w:rPr>
          <w:rFonts w:ascii="Garamond" w:hAnsi="Garamond" w:cs="Times New Roman"/>
          <w:sz w:val="24"/>
          <w:szCs w:val="24"/>
        </w:rPr>
        <w:t xml:space="preserve">one might think </w:t>
      </w:r>
      <w:r w:rsidR="00EC2081" w:rsidRPr="00FC4B3D">
        <w:rPr>
          <w:rFonts w:ascii="Garamond" w:hAnsi="Garamond" w:cs="Times New Roman"/>
          <w:sz w:val="24"/>
          <w:szCs w:val="24"/>
        </w:rPr>
        <w:t xml:space="preserve">that though a semantic </w:t>
      </w:r>
      <w:proofErr w:type="spellStart"/>
      <w:r w:rsidR="00EC2081" w:rsidRPr="00FC4B3D">
        <w:rPr>
          <w:rFonts w:ascii="Garamond" w:hAnsi="Garamond" w:cs="Times New Roman"/>
          <w:sz w:val="24"/>
          <w:szCs w:val="24"/>
        </w:rPr>
        <w:t>invariantist</w:t>
      </w:r>
      <w:proofErr w:type="spellEnd"/>
      <w:r w:rsidR="00EC2081" w:rsidRPr="00FC4B3D">
        <w:rPr>
          <w:rFonts w:ascii="Garamond" w:hAnsi="Garamond" w:cs="Times New Roman"/>
          <w:sz w:val="24"/>
          <w:szCs w:val="24"/>
        </w:rPr>
        <w:t xml:space="preserve"> with respect to knowledge ascriptions, Wittgenstein was after all an </w:t>
      </w:r>
      <w:r w:rsidR="00EC2081" w:rsidRPr="00FC4B3D">
        <w:rPr>
          <w:rFonts w:ascii="Garamond" w:hAnsi="Garamond" w:cs="Times New Roman"/>
          <w:i/>
          <w:sz w:val="24"/>
          <w:szCs w:val="24"/>
        </w:rPr>
        <w:t>epistemological</w:t>
      </w:r>
      <w:r w:rsidR="00EC2081" w:rsidRPr="00FC4B3D">
        <w:rPr>
          <w:rFonts w:ascii="Garamond" w:hAnsi="Garamond" w:cs="Times New Roman"/>
          <w:sz w:val="24"/>
          <w:szCs w:val="24"/>
        </w:rPr>
        <w:t xml:space="preserve"> contextualist. For,</w:t>
      </w:r>
      <w:r w:rsidRPr="00FC4B3D">
        <w:rPr>
          <w:rFonts w:ascii="Garamond" w:hAnsi="Garamond" w:cs="Times New Roman"/>
          <w:sz w:val="24"/>
          <w:szCs w:val="24"/>
        </w:rPr>
        <w:t xml:space="preserve"> allegedly, he pointed out that</w:t>
      </w:r>
      <w:r w:rsidR="00EC2081" w:rsidRPr="00FC4B3D">
        <w:rPr>
          <w:rFonts w:ascii="Garamond" w:hAnsi="Garamond" w:cs="Times New Roman"/>
          <w:sz w:val="24"/>
          <w:szCs w:val="24"/>
        </w:rPr>
        <w:t xml:space="preserve"> “Here is my hand” could be the object of a genuine claim to knowledge in some cases and could thus be supported by grounds, while it would fail to be so in different ones. On such a</w:t>
      </w:r>
      <w:r w:rsidR="00EA506B" w:rsidRPr="00FC4B3D">
        <w:rPr>
          <w:rFonts w:ascii="Garamond" w:hAnsi="Garamond" w:cs="Times New Roman"/>
          <w:sz w:val="24"/>
          <w:szCs w:val="24"/>
        </w:rPr>
        <w:t>n epistemological</w:t>
      </w:r>
      <w:r w:rsidR="00EC2081" w:rsidRPr="00FC4B3D">
        <w:rPr>
          <w:rFonts w:ascii="Garamond" w:hAnsi="Garamond" w:cs="Times New Roman"/>
          <w:sz w:val="24"/>
          <w:szCs w:val="24"/>
        </w:rPr>
        <w:t xml:space="preserve"> contextualist reading, in the latter case the relationship between the subject and the proposition would</w:t>
      </w:r>
      <w:r w:rsidR="00EA506B" w:rsidRPr="00FC4B3D">
        <w:rPr>
          <w:rFonts w:ascii="Garamond" w:hAnsi="Garamond" w:cs="Times New Roman"/>
          <w:sz w:val="24"/>
          <w:szCs w:val="24"/>
        </w:rPr>
        <w:t xml:space="preserve"> still be epistemic, though non-</w:t>
      </w:r>
      <w:r w:rsidR="00EC2081" w:rsidRPr="00FC4B3D">
        <w:rPr>
          <w:rFonts w:ascii="Garamond" w:hAnsi="Garamond" w:cs="Times New Roman"/>
          <w:sz w:val="24"/>
          <w:szCs w:val="24"/>
        </w:rPr>
        <w:t xml:space="preserve">evidential. Hence, the subject would actually </w:t>
      </w:r>
      <w:r w:rsidR="00EC2081" w:rsidRPr="00FC4B3D">
        <w:rPr>
          <w:rFonts w:ascii="Garamond" w:hAnsi="Garamond" w:cs="Times New Roman"/>
          <w:i/>
          <w:sz w:val="24"/>
          <w:szCs w:val="24"/>
        </w:rPr>
        <w:t>know</w:t>
      </w:r>
      <w:r w:rsidR="00EC2081" w:rsidRPr="00FC4B3D">
        <w:rPr>
          <w:rFonts w:ascii="Garamond" w:hAnsi="Garamond" w:cs="Times New Roman"/>
          <w:sz w:val="24"/>
          <w:szCs w:val="24"/>
        </w:rPr>
        <w:t xml:space="preserve"> that</w:t>
      </w:r>
      <w:r w:rsidR="002939A1" w:rsidRPr="00FC4B3D">
        <w:rPr>
          <w:rFonts w:ascii="Garamond" w:hAnsi="Garamond" w:cs="Times New Roman"/>
          <w:sz w:val="24"/>
          <w:szCs w:val="24"/>
        </w:rPr>
        <w:t xml:space="preserve"> there is a hand in front of her</w:t>
      </w:r>
      <w:r w:rsidR="00EC2081" w:rsidRPr="00FC4B3D">
        <w:rPr>
          <w:rFonts w:ascii="Garamond" w:hAnsi="Garamond" w:cs="Times New Roman"/>
          <w:sz w:val="24"/>
          <w:szCs w:val="24"/>
        </w:rPr>
        <w:t xml:space="preserve">, for </w:t>
      </w:r>
      <w:r w:rsidR="00E576B6" w:rsidRPr="00FC4B3D">
        <w:rPr>
          <w:rFonts w:ascii="Garamond" w:hAnsi="Garamond" w:cs="Times New Roman"/>
          <w:sz w:val="24"/>
          <w:szCs w:val="24"/>
        </w:rPr>
        <w:t>s</w:t>
      </w:r>
      <w:r w:rsidR="00EC2081" w:rsidRPr="00FC4B3D">
        <w:rPr>
          <w:rFonts w:ascii="Garamond" w:hAnsi="Garamond" w:cs="Times New Roman"/>
          <w:sz w:val="24"/>
          <w:szCs w:val="24"/>
        </w:rPr>
        <w:t xml:space="preserve">he would be </w:t>
      </w:r>
      <w:r w:rsidR="00EC2081" w:rsidRPr="00FC4B3D">
        <w:rPr>
          <w:rFonts w:ascii="Garamond" w:hAnsi="Garamond" w:cs="Times New Roman"/>
          <w:i/>
          <w:sz w:val="24"/>
          <w:szCs w:val="24"/>
        </w:rPr>
        <w:t>entitled</w:t>
      </w:r>
      <w:r w:rsidR="00EC2081" w:rsidRPr="00FC4B3D">
        <w:rPr>
          <w:rFonts w:ascii="Garamond" w:hAnsi="Garamond" w:cs="Times New Roman"/>
          <w:sz w:val="24"/>
          <w:szCs w:val="24"/>
        </w:rPr>
        <w:t xml:space="preserve">—i.e. non-evidentially justified—to take that </w:t>
      </w:r>
      <w:r w:rsidR="00EC2081" w:rsidRPr="00FC4B3D">
        <w:rPr>
          <w:rFonts w:ascii="Garamond" w:hAnsi="Garamond" w:cs="Times New Roman"/>
          <w:i/>
          <w:sz w:val="24"/>
          <w:szCs w:val="24"/>
        </w:rPr>
        <w:t>truth</w:t>
      </w:r>
      <w:r w:rsidR="00EC2081" w:rsidRPr="00FC4B3D">
        <w:rPr>
          <w:rFonts w:ascii="Garamond" w:hAnsi="Garamond" w:cs="Times New Roman"/>
          <w:sz w:val="24"/>
          <w:szCs w:val="24"/>
        </w:rPr>
        <w:t xml:space="preserve"> for granted, though </w:t>
      </w:r>
      <w:r w:rsidR="00E576B6" w:rsidRPr="00FC4B3D">
        <w:rPr>
          <w:rFonts w:ascii="Garamond" w:hAnsi="Garamond" w:cs="Times New Roman"/>
          <w:sz w:val="24"/>
          <w:szCs w:val="24"/>
        </w:rPr>
        <w:t>s</w:t>
      </w:r>
      <w:r w:rsidR="00EC2081" w:rsidRPr="00FC4B3D">
        <w:rPr>
          <w:rFonts w:ascii="Garamond" w:hAnsi="Garamond" w:cs="Times New Roman"/>
          <w:sz w:val="24"/>
          <w:szCs w:val="24"/>
        </w:rPr>
        <w:t>he couldn’t articulate reasons in its favor such as to ground a</w:t>
      </w:r>
      <w:r w:rsidR="00E576B6" w:rsidRPr="00FC4B3D">
        <w:rPr>
          <w:rFonts w:ascii="Garamond" w:hAnsi="Garamond" w:cs="Times New Roman"/>
          <w:sz w:val="24"/>
          <w:szCs w:val="24"/>
        </w:rPr>
        <w:t>n eventual claim to knowledge. Sh</w:t>
      </w:r>
      <w:r w:rsidR="00EC2081" w:rsidRPr="00FC4B3D">
        <w:rPr>
          <w:rFonts w:ascii="Garamond" w:hAnsi="Garamond" w:cs="Times New Roman"/>
          <w:sz w:val="24"/>
          <w:szCs w:val="24"/>
        </w:rPr>
        <w:t>e would be non-evidentially justified because no reasons to the contrary could be produced and because to take that much for granted would be necessary to gather any evidence in favor of other propositions.</w:t>
      </w:r>
      <w:r w:rsidR="002939A1" w:rsidRPr="00FC4B3D">
        <w:rPr>
          <w:rFonts w:ascii="Garamond" w:hAnsi="Garamond" w:cs="Times New Roman"/>
          <w:sz w:val="24"/>
          <w:szCs w:val="24"/>
        </w:rPr>
        <w:t xml:space="preserve"> Writes Williams:</w:t>
      </w:r>
    </w:p>
    <w:p w14:paraId="65262036" w14:textId="77777777" w:rsidR="002939A1" w:rsidRPr="005604F6" w:rsidRDefault="002939A1" w:rsidP="002939A1">
      <w:pPr>
        <w:spacing w:after="0" w:line="360" w:lineRule="auto"/>
        <w:jc w:val="both"/>
        <w:rPr>
          <w:rFonts w:ascii="Garamond" w:hAnsi="Garamond"/>
          <w:sz w:val="24"/>
          <w:szCs w:val="24"/>
          <w:lang w:val="en-GB"/>
        </w:rPr>
      </w:pPr>
    </w:p>
    <w:p w14:paraId="02AEB739" w14:textId="7E85EB74" w:rsidR="002939A1" w:rsidRPr="00FC4B3D" w:rsidRDefault="002939A1" w:rsidP="002939A1">
      <w:pPr>
        <w:spacing w:after="0" w:line="360" w:lineRule="auto"/>
        <w:ind w:left="567"/>
        <w:jc w:val="both"/>
        <w:rPr>
          <w:rFonts w:ascii="Garamond" w:hAnsi="Garamond"/>
          <w:sz w:val="24"/>
          <w:szCs w:val="24"/>
          <w:lang w:val="en-GB"/>
        </w:rPr>
      </w:pPr>
      <w:r w:rsidRPr="00FC4B3D">
        <w:rPr>
          <w:rFonts w:ascii="Garamond" w:hAnsi="Garamond"/>
          <w:sz w:val="24"/>
          <w:szCs w:val="24"/>
          <w:lang w:val="en-GB"/>
        </w:rPr>
        <w:t xml:space="preserve">Holding some </w:t>
      </w:r>
      <w:proofErr w:type="gramStart"/>
      <w:r w:rsidRPr="00FC4B3D">
        <w:rPr>
          <w:rFonts w:ascii="Garamond" w:hAnsi="Garamond"/>
          <w:sz w:val="24"/>
          <w:szCs w:val="24"/>
          <w:lang w:val="en-GB"/>
        </w:rPr>
        <w:t>particular propositions</w:t>
      </w:r>
      <w:proofErr w:type="gramEnd"/>
      <w:r w:rsidRPr="00FC4B3D">
        <w:rPr>
          <w:rFonts w:ascii="Garamond" w:hAnsi="Garamond"/>
          <w:sz w:val="24"/>
          <w:szCs w:val="24"/>
          <w:lang w:val="en-GB"/>
        </w:rPr>
        <w:t xml:space="preserve"> fast need not be a matter of credulity: to hold them fast is reasonable. </w:t>
      </w:r>
      <w:proofErr w:type="gramStart"/>
      <w:r w:rsidRPr="00FC4B3D">
        <w:rPr>
          <w:rFonts w:ascii="Garamond" w:hAnsi="Garamond"/>
          <w:sz w:val="24"/>
          <w:szCs w:val="24"/>
          <w:lang w:val="en-GB"/>
        </w:rPr>
        <w:t>So</w:t>
      </w:r>
      <w:proofErr w:type="gramEnd"/>
      <w:r w:rsidRPr="00FC4B3D">
        <w:rPr>
          <w:rFonts w:ascii="Garamond" w:hAnsi="Garamond"/>
          <w:sz w:val="24"/>
          <w:szCs w:val="24"/>
          <w:lang w:val="en-GB"/>
        </w:rPr>
        <w:t xml:space="preserve"> while </w:t>
      </w:r>
      <w:r w:rsidRPr="00FC4B3D">
        <w:rPr>
          <w:rFonts w:ascii="Garamond" w:hAnsi="Garamond"/>
          <w:i/>
          <w:iCs/>
          <w:sz w:val="24"/>
          <w:szCs w:val="24"/>
          <w:lang w:val="en-GB"/>
        </w:rPr>
        <w:t>they</w:t>
      </w:r>
      <w:r w:rsidRPr="00FC4B3D">
        <w:rPr>
          <w:rFonts w:ascii="Garamond" w:hAnsi="Garamond"/>
          <w:sz w:val="24"/>
          <w:szCs w:val="24"/>
          <w:lang w:val="en-GB"/>
        </w:rPr>
        <w:t xml:space="preserve"> are (in one sense) ungrounded, </w:t>
      </w:r>
      <w:r w:rsidRPr="00FC4B3D">
        <w:rPr>
          <w:rFonts w:ascii="Garamond" w:hAnsi="Garamond"/>
          <w:i/>
          <w:iCs/>
          <w:sz w:val="24"/>
          <w:szCs w:val="24"/>
          <w:lang w:val="en-GB"/>
        </w:rPr>
        <w:t>we</w:t>
      </w:r>
      <w:r w:rsidRPr="00FC4B3D">
        <w:rPr>
          <w:rFonts w:ascii="Garamond" w:hAnsi="Garamond"/>
          <w:sz w:val="24"/>
          <w:szCs w:val="24"/>
          <w:lang w:val="en-GB"/>
        </w:rPr>
        <w:t xml:space="preserve"> are justified in cleaving to them. In this way, they can be the objects of beliefs that are true (in a deflationary sense of ‘true’) and justified (though not derived from evidence). Thinking of ‘justified true belief’ in this second way, even basic certainties can amount to knowledge” (2004</w:t>
      </w:r>
      <w:r w:rsidR="000021FD" w:rsidRPr="00FC4B3D">
        <w:rPr>
          <w:rFonts w:ascii="Garamond" w:hAnsi="Garamond"/>
          <w:sz w:val="24"/>
          <w:szCs w:val="24"/>
          <w:lang w:val="en-GB"/>
        </w:rPr>
        <w:t>b</w:t>
      </w:r>
      <w:r w:rsidRPr="00FC4B3D">
        <w:rPr>
          <w:rFonts w:ascii="Garamond" w:hAnsi="Garamond"/>
          <w:sz w:val="24"/>
          <w:szCs w:val="24"/>
          <w:lang w:val="en-GB"/>
        </w:rPr>
        <w:t>, p. 280).</w:t>
      </w:r>
    </w:p>
    <w:p w14:paraId="72A6C5D6" w14:textId="77777777" w:rsidR="00D9035B" w:rsidRPr="00FC4B3D" w:rsidRDefault="00D9035B" w:rsidP="002939A1">
      <w:pPr>
        <w:spacing w:after="0" w:line="360" w:lineRule="auto"/>
        <w:ind w:left="567"/>
        <w:jc w:val="both"/>
        <w:rPr>
          <w:rFonts w:ascii="Garamond" w:hAnsi="Garamond"/>
          <w:sz w:val="24"/>
          <w:szCs w:val="24"/>
        </w:rPr>
      </w:pPr>
    </w:p>
    <w:p w14:paraId="03B7C600" w14:textId="77777777" w:rsidR="009B5148" w:rsidRPr="00FC4B3D" w:rsidRDefault="00EC2081" w:rsidP="0094375D">
      <w:pPr>
        <w:spacing w:after="0" w:line="360" w:lineRule="auto"/>
        <w:jc w:val="both"/>
        <w:rPr>
          <w:rFonts w:ascii="Garamond" w:hAnsi="Garamond"/>
          <w:sz w:val="24"/>
          <w:szCs w:val="24"/>
        </w:rPr>
      </w:pPr>
      <w:r w:rsidRPr="00FC4B3D">
        <w:rPr>
          <w:rFonts w:ascii="Garamond" w:hAnsi="Garamond" w:cs="Times New Roman"/>
          <w:sz w:val="24"/>
          <w:szCs w:val="24"/>
        </w:rPr>
        <w:t xml:space="preserve">Yet, I find </w:t>
      </w:r>
      <w:r w:rsidR="002939A1" w:rsidRPr="00FC4B3D">
        <w:rPr>
          <w:rFonts w:ascii="Garamond" w:hAnsi="Garamond" w:cs="Times New Roman"/>
          <w:sz w:val="24"/>
          <w:szCs w:val="24"/>
        </w:rPr>
        <w:t>William’s</w:t>
      </w:r>
      <w:r w:rsidRPr="00FC4B3D">
        <w:rPr>
          <w:rFonts w:ascii="Garamond" w:hAnsi="Garamond" w:cs="Times New Roman"/>
          <w:sz w:val="24"/>
          <w:szCs w:val="24"/>
        </w:rPr>
        <w:t xml:space="preserve"> suggestion misleading </w:t>
      </w:r>
      <w:r w:rsidR="009B5148" w:rsidRPr="00FC4B3D">
        <w:rPr>
          <w:rFonts w:ascii="Garamond" w:hAnsi="Garamond" w:cs="Times New Roman"/>
          <w:sz w:val="24"/>
          <w:szCs w:val="24"/>
        </w:rPr>
        <w:t xml:space="preserve">for </w:t>
      </w:r>
      <w:r w:rsidR="0002085C" w:rsidRPr="00FC4B3D">
        <w:rPr>
          <w:rFonts w:ascii="Garamond" w:hAnsi="Garamond" w:cs="Times New Roman"/>
          <w:sz w:val="24"/>
          <w:szCs w:val="24"/>
        </w:rPr>
        <w:t>several</w:t>
      </w:r>
      <w:r w:rsidR="009B5148" w:rsidRPr="00FC4B3D">
        <w:rPr>
          <w:rFonts w:ascii="Garamond" w:hAnsi="Garamond" w:cs="Times New Roman"/>
          <w:sz w:val="24"/>
          <w:szCs w:val="24"/>
        </w:rPr>
        <w:t xml:space="preserve"> reasons. First, Wittgenstein was not at all in favor of non-evidential justifications for hinges. </w:t>
      </w:r>
      <w:r w:rsidR="009B5148" w:rsidRPr="00FC4B3D">
        <w:rPr>
          <w:rFonts w:ascii="Garamond" w:hAnsi="Garamond"/>
          <w:sz w:val="24"/>
          <w:szCs w:val="24"/>
        </w:rPr>
        <w:t xml:space="preserve">Consider the following passage, which, ironically, is often appealed to by supporters of such an epistemic reading of Wittgenstein’s remarks, in which he is </w:t>
      </w:r>
      <w:proofErr w:type="gramStart"/>
      <w:r w:rsidR="009B5148" w:rsidRPr="00FC4B3D">
        <w:rPr>
          <w:rFonts w:ascii="Garamond" w:hAnsi="Garamond"/>
          <w:sz w:val="24"/>
          <w:szCs w:val="24"/>
        </w:rPr>
        <w:t>actually denying</w:t>
      </w:r>
      <w:proofErr w:type="gramEnd"/>
      <w:r w:rsidR="009B5148" w:rsidRPr="00FC4B3D">
        <w:rPr>
          <w:rFonts w:ascii="Garamond" w:hAnsi="Garamond"/>
          <w:sz w:val="24"/>
          <w:szCs w:val="24"/>
        </w:rPr>
        <w:t xml:space="preserve"> that we are non-evidentially justified, by way of pragmatic considerations, to believe them:</w:t>
      </w:r>
    </w:p>
    <w:p w14:paraId="3C339BA2" w14:textId="77777777" w:rsidR="009B5148" w:rsidRPr="00FC4B3D" w:rsidRDefault="009B5148" w:rsidP="009B5148">
      <w:pPr>
        <w:spacing w:after="0" w:line="360" w:lineRule="auto"/>
        <w:ind w:firstLine="357"/>
        <w:jc w:val="both"/>
        <w:rPr>
          <w:rFonts w:ascii="Garamond" w:hAnsi="Garamond"/>
          <w:sz w:val="24"/>
          <w:szCs w:val="24"/>
        </w:rPr>
      </w:pPr>
    </w:p>
    <w:p w14:paraId="22E67813" w14:textId="0A2FD841" w:rsidR="009B5148" w:rsidRPr="00FC4B3D" w:rsidRDefault="009B5148" w:rsidP="009B5148">
      <w:pPr>
        <w:spacing w:after="0" w:line="360" w:lineRule="auto"/>
        <w:ind w:left="720"/>
        <w:jc w:val="both"/>
        <w:rPr>
          <w:rFonts w:ascii="Garamond" w:hAnsi="Garamond"/>
          <w:sz w:val="24"/>
          <w:szCs w:val="24"/>
          <w:lang w:val="en-GB"/>
        </w:rPr>
      </w:pPr>
      <w:r w:rsidRPr="00FC4B3D">
        <w:rPr>
          <w:rFonts w:ascii="Garamond" w:hAnsi="Garamond"/>
          <w:sz w:val="24"/>
          <w:szCs w:val="24"/>
          <w:lang w:val="en-GB"/>
        </w:rPr>
        <w:t xml:space="preserve">But it </w:t>
      </w:r>
      <w:r w:rsidRPr="00FC4B3D">
        <w:rPr>
          <w:rFonts w:ascii="Garamond" w:hAnsi="Garamond"/>
          <w:bCs/>
          <w:i/>
          <w:iCs/>
          <w:sz w:val="24"/>
          <w:szCs w:val="24"/>
          <w:lang w:val="en-GB"/>
        </w:rPr>
        <w:t>isn’t</w:t>
      </w:r>
      <w:r w:rsidRPr="00FC4B3D">
        <w:rPr>
          <w:rFonts w:ascii="Garamond" w:hAnsi="Garamond"/>
          <w:bCs/>
          <w:sz w:val="24"/>
          <w:szCs w:val="24"/>
          <w:lang w:val="en-GB"/>
        </w:rPr>
        <w:t xml:space="preserve"> </w:t>
      </w:r>
      <w:r w:rsidRPr="00FC4B3D">
        <w:rPr>
          <w:rFonts w:ascii="Garamond" w:hAnsi="Garamond"/>
          <w:sz w:val="24"/>
          <w:szCs w:val="24"/>
          <w:lang w:val="en-GB"/>
        </w:rPr>
        <w:t xml:space="preserve">(my emphasis) that the situation is like this: we just </w:t>
      </w:r>
      <w:r w:rsidRPr="00FC4B3D">
        <w:rPr>
          <w:rFonts w:ascii="Garamond" w:hAnsi="Garamond"/>
          <w:i/>
          <w:iCs/>
          <w:sz w:val="24"/>
          <w:szCs w:val="24"/>
          <w:lang w:val="en-GB"/>
        </w:rPr>
        <w:t>can’t</w:t>
      </w:r>
      <w:r w:rsidRPr="00FC4B3D">
        <w:rPr>
          <w:rFonts w:ascii="Garamond" w:hAnsi="Garamond"/>
          <w:sz w:val="24"/>
          <w:szCs w:val="24"/>
          <w:lang w:val="en-GB"/>
        </w:rPr>
        <w:t xml:space="preserve"> investigate everything, and for that reason we are forced to rest content with assumption. If I want the door to turn, the hinges </w:t>
      </w:r>
      <w:r w:rsidRPr="00FC4B3D">
        <w:rPr>
          <w:rFonts w:ascii="Garamond" w:hAnsi="Garamond"/>
          <w:bCs/>
          <w:i/>
          <w:iCs/>
          <w:sz w:val="24"/>
          <w:szCs w:val="24"/>
          <w:lang w:val="en-GB"/>
        </w:rPr>
        <w:t>must</w:t>
      </w:r>
      <w:r w:rsidRPr="00FC4B3D">
        <w:rPr>
          <w:rFonts w:ascii="Garamond" w:hAnsi="Garamond"/>
          <w:sz w:val="24"/>
          <w:szCs w:val="24"/>
          <w:lang w:val="en-GB"/>
        </w:rPr>
        <w:t xml:space="preserve"> (my emphasis) stay put. (OC 343)</w:t>
      </w:r>
    </w:p>
    <w:p w14:paraId="6887DAC7" w14:textId="77777777" w:rsidR="00D9035B" w:rsidRPr="00FC4B3D" w:rsidRDefault="00D9035B" w:rsidP="009B5148">
      <w:pPr>
        <w:spacing w:after="0" w:line="360" w:lineRule="auto"/>
        <w:ind w:left="720"/>
        <w:jc w:val="both"/>
        <w:rPr>
          <w:rFonts w:ascii="Garamond" w:hAnsi="Garamond"/>
          <w:sz w:val="24"/>
          <w:szCs w:val="24"/>
        </w:rPr>
      </w:pPr>
    </w:p>
    <w:p w14:paraId="7E994079" w14:textId="1EE2DDB6" w:rsidR="009B5148" w:rsidRPr="00FC4B3D" w:rsidRDefault="009B5148" w:rsidP="002939A1">
      <w:pPr>
        <w:spacing w:after="0" w:line="360" w:lineRule="auto"/>
        <w:jc w:val="both"/>
        <w:rPr>
          <w:rFonts w:ascii="Garamond" w:hAnsi="Garamond" w:cs="Times New Roman"/>
          <w:sz w:val="24"/>
          <w:szCs w:val="24"/>
        </w:rPr>
      </w:pPr>
      <w:r w:rsidRPr="00FC4B3D">
        <w:rPr>
          <w:rFonts w:ascii="Garamond" w:hAnsi="Garamond" w:cs="Times New Roman"/>
          <w:sz w:val="24"/>
          <w:szCs w:val="24"/>
        </w:rPr>
        <w:t xml:space="preserve">Wittgenstein’s point, that is, is not that the impossibility of an investigation into the presuppositions of </w:t>
      </w:r>
      <w:r w:rsidR="00EA506B" w:rsidRPr="00FC4B3D">
        <w:rPr>
          <w:rFonts w:ascii="Garamond" w:hAnsi="Garamond" w:cs="Times New Roman"/>
          <w:sz w:val="24"/>
          <w:szCs w:val="24"/>
        </w:rPr>
        <w:t>each</w:t>
      </w:r>
      <w:r w:rsidRPr="00FC4B3D">
        <w:rPr>
          <w:rFonts w:ascii="Garamond" w:hAnsi="Garamond" w:cs="Times New Roman"/>
          <w:sz w:val="24"/>
          <w:szCs w:val="24"/>
        </w:rPr>
        <w:t xml:space="preserve"> inquiry would make inquiry impossible and that provides us with an un-earned justification to believe them. Rather, his point is that it belongs to the logic of inquiry – and it is therefore a grammatical remark about “inquiry</w:t>
      </w:r>
      <w:r w:rsidR="00D9035B" w:rsidRPr="00FC4B3D">
        <w:rPr>
          <w:rFonts w:ascii="Garamond" w:hAnsi="Garamond" w:cs="Times New Roman"/>
          <w:sz w:val="24"/>
          <w:szCs w:val="24"/>
        </w:rPr>
        <w:t>”</w:t>
      </w:r>
      <w:r w:rsidRPr="00FC4B3D">
        <w:rPr>
          <w:rFonts w:ascii="Garamond" w:hAnsi="Garamond" w:cs="Times New Roman"/>
          <w:sz w:val="24"/>
          <w:szCs w:val="24"/>
        </w:rPr>
        <w:t xml:space="preserve"> – that its hinges be held fast, even if they are not justified and justifiable</w:t>
      </w:r>
      <w:r w:rsidR="00D9035B" w:rsidRPr="00FC4B3D">
        <w:rPr>
          <w:rFonts w:ascii="Garamond" w:hAnsi="Garamond" w:cs="Times New Roman"/>
          <w:sz w:val="24"/>
          <w:szCs w:val="24"/>
        </w:rPr>
        <w:t>,</w:t>
      </w:r>
      <w:r w:rsidRPr="00FC4B3D">
        <w:rPr>
          <w:rFonts w:ascii="Garamond" w:hAnsi="Garamond" w:cs="Times New Roman"/>
          <w:sz w:val="24"/>
          <w:szCs w:val="24"/>
        </w:rPr>
        <w:t xml:space="preserve"> evidentially or otherwise.</w:t>
      </w:r>
      <w:r w:rsidR="006A3F1A" w:rsidRPr="00FC4B3D">
        <w:rPr>
          <w:rStyle w:val="FootnoteReference"/>
          <w:rFonts w:ascii="Garamond" w:hAnsi="Garamond" w:cs="Times New Roman"/>
          <w:sz w:val="24"/>
          <w:szCs w:val="24"/>
        </w:rPr>
        <w:footnoteReference w:id="16"/>
      </w:r>
    </w:p>
    <w:p w14:paraId="584B5E69" w14:textId="00604AC4" w:rsidR="000300ED" w:rsidRPr="005604F6" w:rsidRDefault="009B5148" w:rsidP="000300ED">
      <w:pPr>
        <w:spacing w:after="0" w:line="360" w:lineRule="auto"/>
        <w:ind w:firstLine="360"/>
        <w:jc w:val="both"/>
        <w:rPr>
          <w:rFonts w:ascii="Garamond" w:hAnsi="Garamond"/>
          <w:sz w:val="24"/>
          <w:szCs w:val="24"/>
        </w:rPr>
      </w:pPr>
      <w:r w:rsidRPr="00FC4B3D">
        <w:rPr>
          <w:rFonts w:ascii="Garamond" w:hAnsi="Garamond" w:cs="Times New Roman"/>
          <w:sz w:val="24"/>
          <w:szCs w:val="24"/>
        </w:rPr>
        <w:t>Second</w:t>
      </w:r>
      <w:r w:rsidR="00EC2081" w:rsidRPr="00FC4B3D">
        <w:rPr>
          <w:rFonts w:ascii="Garamond" w:hAnsi="Garamond" w:cs="Times New Roman"/>
          <w:sz w:val="24"/>
          <w:szCs w:val="24"/>
        </w:rPr>
        <w:t>,</w:t>
      </w:r>
      <w:r w:rsidRPr="00FC4B3D">
        <w:rPr>
          <w:rFonts w:ascii="Garamond" w:hAnsi="Garamond" w:cs="Times New Roman"/>
          <w:sz w:val="24"/>
          <w:szCs w:val="24"/>
        </w:rPr>
        <w:t xml:space="preserve"> Williams’ suggestion is misleading because,</w:t>
      </w:r>
      <w:r w:rsidR="00EC2081" w:rsidRPr="00FC4B3D">
        <w:rPr>
          <w:rFonts w:ascii="Garamond" w:hAnsi="Garamond" w:cs="Times New Roman"/>
          <w:sz w:val="24"/>
          <w:szCs w:val="24"/>
        </w:rPr>
        <w:t xml:space="preserve"> on Wittgenstein’s view, in </w:t>
      </w:r>
      <w:r w:rsidR="006A3F1A" w:rsidRPr="00FC4B3D">
        <w:rPr>
          <w:rFonts w:ascii="Garamond" w:hAnsi="Garamond" w:cs="Times New Roman"/>
          <w:sz w:val="24"/>
          <w:szCs w:val="24"/>
        </w:rPr>
        <w:t>a Moore-like</w:t>
      </w:r>
      <w:r w:rsidR="00EC2081" w:rsidRPr="00FC4B3D">
        <w:rPr>
          <w:rFonts w:ascii="Garamond" w:hAnsi="Garamond" w:cs="Times New Roman"/>
          <w:sz w:val="24"/>
          <w:szCs w:val="24"/>
        </w:rPr>
        <w:t xml:space="preserve"> case “Here is my hand” would be a “hinge” and hence a rule.</w:t>
      </w:r>
      <w:r w:rsidR="00EC2081" w:rsidRPr="00FC4B3D">
        <w:rPr>
          <w:rStyle w:val="FootnoteReference"/>
          <w:rFonts w:ascii="Garamond" w:hAnsi="Garamond" w:cs="Times New Roman"/>
          <w:sz w:val="24"/>
          <w:szCs w:val="24"/>
        </w:rPr>
        <w:footnoteReference w:id="17"/>
      </w:r>
      <w:r w:rsidR="00EC2081" w:rsidRPr="00FC4B3D">
        <w:rPr>
          <w:rFonts w:ascii="Garamond" w:hAnsi="Garamond" w:cs="Times New Roman"/>
          <w:sz w:val="24"/>
          <w:szCs w:val="24"/>
        </w:rPr>
        <w:t xml:space="preserve"> If so, it would simply fail to be in the business </w:t>
      </w:r>
      <w:r w:rsidR="00D9035B" w:rsidRPr="00FC4B3D">
        <w:rPr>
          <w:rFonts w:ascii="Garamond" w:hAnsi="Garamond" w:cs="Times New Roman"/>
          <w:sz w:val="24"/>
          <w:szCs w:val="24"/>
        </w:rPr>
        <w:t xml:space="preserve">for </w:t>
      </w:r>
      <w:r w:rsidR="00EC2081" w:rsidRPr="00FC4B3D">
        <w:rPr>
          <w:rFonts w:ascii="Garamond" w:hAnsi="Garamond" w:cs="Times New Roman"/>
          <w:sz w:val="24"/>
          <w:szCs w:val="24"/>
        </w:rPr>
        <w:t>epistemic justification and assessment.</w:t>
      </w:r>
      <w:r w:rsidR="00EC2081" w:rsidRPr="00FC4B3D">
        <w:rPr>
          <w:rStyle w:val="FootnoteReference"/>
          <w:rFonts w:ascii="Garamond" w:hAnsi="Garamond" w:cs="Times New Roman"/>
          <w:sz w:val="24"/>
          <w:szCs w:val="24"/>
        </w:rPr>
        <w:footnoteReference w:id="18"/>
      </w:r>
      <w:r w:rsidR="00EC2081" w:rsidRPr="00FC4B3D">
        <w:rPr>
          <w:rFonts w:ascii="Garamond" w:hAnsi="Garamond" w:cs="Times New Roman"/>
          <w:sz w:val="24"/>
          <w:szCs w:val="24"/>
        </w:rPr>
        <w:t xml:space="preserve"> </w:t>
      </w:r>
      <w:r w:rsidR="001D3CAE" w:rsidRPr="00FC4B3D">
        <w:rPr>
          <w:rFonts w:ascii="Garamond" w:hAnsi="Garamond" w:cs="Times New Roman"/>
          <w:sz w:val="24"/>
          <w:szCs w:val="24"/>
        </w:rPr>
        <w:t>As Wittgenstein puts it, these propositions lie “</w:t>
      </w:r>
      <w:r w:rsidR="001D3CAE" w:rsidRPr="00FC4B3D">
        <w:rPr>
          <w:rFonts w:ascii="Garamond" w:hAnsi="Garamond" w:cs="Times New Roman"/>
          <w:i/>
          <w:sz w:val="24"/>
          <w:szCs w:val="24"/>
        </w:rPr>
        <w:t>beyond</w:t>
      </w:r>
      <w:r w:rsidR="001D3CAE" w:rsidRPr="00FC4B3D">
        <w:rPr>
          <w:rFonts w:ascii="Garamond" w:hAnsi="Garamond" w:cs="Times New Roman"/>
          <w:sz w:val="24"/>
          <w:szCs w:val="24"/>
        </w:rPr>
        <w:t xml:space="preserve"> being justified or unjustified” (OC 359</w:t>
      </w:r>
      <w:r w:rsidR="00EA506B" w:rsidRPr="00FC4B3D">
        <w:rPr>
          <w:rFonts w:ascii="Garamond" w:hAnsi="Garamond" w:cs="Times New Roman"/>
          <w:sz w:val="24"/>
          <w:szCs w:val="24"/>
        </w:rPr>
        <w:t>, my emphasis</w:t>
      </w:r>
      <w:r w:rsidR="001D3CAE" w:rsidRPr="00FC4B3D">
        <w:rPr>
          <w:rFonts w:ascii="Garamond" w:hAnsi="Garamond" w:cs="Times New Roman"/>
          <w:sz w:val="24"/>
          <w:szCs w:val="24"/>
        </w:rPr>
        <w:t xml:space="preserve">). </w:t>
      </w:r>
      <w:r w:rsidR="00482441" w:rsidRPr="00FC4B3D">
        <w:rPr>
          <w:rFonts w:ascii="Garamond" w:hAnsi="Garamond" w:cs="Times New Roman"/>
          <w:sz w:val="24"/>
          <w:szCs w:val="24"/>
        </w:rPr>
        <w:t>Thus,</w:t>
      </w:r>
      <w:r w:rsidR="00EC2081" w:rsidRPr="00FC4B3D">
        <w:rPr>
          <w:rFonts w:ascii="Garamond" w:hAnsi="Garamond" w:cs="Times New Roman"/>
          <w:sz w:val="24"/>
          <w:szCs w:val="24"/>
        </w:rPr>
        <w:t xml:space="preserve"> I think Wittgenstein didn’t even argue that the nature of </w:t>
      </w:r>
      <w:r w:rsidR="00EC2081" w:rsidRPr="00FC4B3D">
        <w:rPr>
          <w:rFonts w:ascii="Garamond" w:hAnsi="Garamond" w:cs="Times New Roman"/>
          <w:i/>
          <w:sz w:val="24"/>
          <w:szCs w:val="24"/>
        </w:rPr>
        <w:t>justification</w:t>
      </w:r>
      <w:r w:rsidR="00EC2081" w:rsidRPr="00FC4B3D">
        <w:rPr>
          <w:rFonts w:ascii="Garamond" w:hAnsi="Garamond" w:cs="Times New Roman"/>
          <w:sz w:val="24"/>
          <w:szCs w:val="24"/>
        </w:rPr>
        <w:t xml:space="preserve"> varies depending on context.</w:t>
      </w:r>
      <w:r w:rsidR="006A3F1A" w:rsidRPr="00FC4B3D">
        <w:rPr>
          <w:rFonts w:ascii="Garamond" w:hAnsi="Garamond" w:cs="Times New Roman"/>
          <w:sz w:val="24"/>
          <w:szCs w:val="24"/>
        </w:rPr>
        <w:t xml:space="preserve"> That is, he did not argue for the view that in some cases our justification is earned through empirical or a priori work, </w:t>
      </w:r>
      <w:r w:rsidR="00F71FB4" w:rsidRPr="00FC4B3D">
        <w:rPr>
          <w:rFonts w:ascii="Garamond" w:hAnsi="Garamond" w:cs="Times New Roman"/>
          <w:sz w:val="24"/>
          <w:szCs w:val="24"/>
        </w:rPr>
        <w:t>while</w:t>
      </w:r>
      <w:r w:rsidR="006A3F1A" w:rsidRPr="00FC4B3D">
        <w:rPr>
          <w:rFonts w:ascii="Garamond" w:hAnsi="Garamond" w:cs="Times New Roman"/>
          <w:sz w:val="24"/>
          <w:szCs w:val="24"/>
        </w:rPr>
        <w:t xml:space="preserve"> sometimes it is unearned.</w:t>
      </w:r>
      <w:r w:rsidR="00EC2081" w:rsidRPr="00FC4B3D">
        <w:rPr>
          <w:rFonts w:ascii="Garamond" w:hAnsi="Garamond" w:cs="Times New Roman"/>
          <w:sz w:val="24"/>
          <w:szCs w:val="24"/>
        </w:rPr>
        <w:t xml:space="preserve"> Rather, he argued for the view that, in certain cases, propositions </w:t>
      </w:r>
      <w:r w:rsidR="00EA506B" w:rsidRPr="00FC4B3D">
        <w:rPr>
          <w:rFonts w:ascii="Garamond" w:hAnsi="Garamond" w:cs="Times New Roman"/>
          <w:sz w:val="24"/>
          <w:szCs w:val="24"/>
        </w:rPr>
        <w:t>that</w:t>
      </w:r>
      <w:r w:rsidR="00EC2081" w:rsidRPr="00FC4B3D">
        <w:rPr>
          <w:rFonts w:ascii="Garamond" w:hAnsi="Garamond" w:cs="Times New Roman"/>
          <w:sz w:val="24"/>
          <w:szCs w:val="24"/>
        </w:rPr>
        <w:t xml:space="preserve">, in different circumstances, may really be subject to verification and control, would fail to be so, as their </w:t>
      </w:r>
      <w:r w:rsidR="00EC2081" w:rsidRPr="00FC4B3D">
        <w:rPr>
          <w:rFonts w:ascii="Garamond" w:hAnsi="Garamond" w:cs="Times New Roman"/>
          <w:i/>
          <w:sz w:val="24"/>
          <w:szCs w:val="24"/>
        </w:rPr>
        <w:t>status and role</w:t>
      </w:r>
      <w:r w:rsidR="00EC2081" w:rsidRPr="00FC4B3D">
        <w:rPr>
          <w:rFonts w:ascii="Garamond" w:hAnsi="Garamond" w:cs="Times New Roman"/>
          <w:sz w:val="24"/>
          <w:szCs w:val="24"/>
        </w:rPr>
        <w:t xml:space="preserve"> would be different in those </w:t>
      </w:r>
      <w:r w:rsidR="00EC2081" w:rsidRPr="00FC4B3D">
        <w:rPr>
          <w:rFonts w:ascii="Garamond" w:hAnsi="Garamond" w:cs="Times New Roman"/>
          <w:sz w:val="24"/>
          <w:szCs w:val="24"/>
        </w:rPr>
        <w:lastRenderedPageBreak/>
        <w:t>different contexts. To repeat, in some contexts they wouldn’t be genuinely empirical propositions but rules and would thus be unsuitable for epistemic support, no matter how non-evidential that might be. In their connection, the use of “I know” could therefore sensibly be taken only as grammatical, according to Wittgenstein, and, as we have seen, such as to fail to attribute any epistemic property to the subject at all.</w:t>
      </w:r>
      <w:r w:rsidR="00EC2081" w:rsidRPr="00FC4B3D">
        <w:rPr>
          <w:rStyle w:val="FootnoteReference"/>
          <w:rFonts w:ascii="Garamond" w:hAnsi="Garamond" w:cs="Times New Roman"/>
          <w:sz w:val="24"/>
          <w:szCs w:val="24"/>
        </w:rPr>
        <w:footnoteReference w:id="19"/>
      </w:r>
      <w:r w:rsidR="001D3CAE" w:rsidRPr="005604F6">
        <w:rPr>
          <w:rFonts w:ascii="Garamond" w:hAnsi="Garamond"/>
          <w:sz w:val="24"/>
          <w:szCs w:val="24"/>
        </w:rPr>
        <w:t xml:space="preserve"> </w:t>
      </w:r>
    </w:p>
    <w:p w14:paraId="5E71D71B" w14:textId="77777777" w:rsidR="001D3CAE" w:rsidRPr="00FC4B3D" w:rsidRDefault="000300ED" w:rsidP="000300ED">
      <w:pPr>
        <w:spacing w:after="0" w:line="360" w:lineRule="auto"/>
        <w:ind w:firstLine="360"/>
        <w:jc w:val="both"/>
        <w:rPr>
          <w:rFonts w:ascii="Garamond" w:hAnsi="Garamond"/>
          <w:sz w:val="24"/>
          <w:szCs w:val="24"/>
        </w:rPr>
      </w:pPr>
      <w:r w:rsidRPr="00FC4B3D">
        <w:rPr>
          <w:rFonts w:ascii="Garamond" w:hAnsi="Garamond"/>
          <w:sz w:val="24"/>
          <w:szCs w:val="24"/>
        </w:rPr>
        <w:t xml:space="preserve">Finally, </w:t>
      </w:r>
      <w:r w:rsidR="001D3CAE" w:rsidRPr="00FC4B3D">
        <w:rPr>
          <w:rFonts w:ascii="Garamond" w:hAnsi="Garamond"/>
          <w:sz w:val="24"/>
          <w:szCs w:val="24"/>
        </w:rPr>
        <w:t>there</w:t>
      </w:r>
      <w:r w:rsidRPr="00FC4B3D">
        <w:rPr>
          <w:rFonts w:ascii="Garamond" w:hAnsi="Garamond"/>
          <w:sz w:val="24"/>
          <w:szCs w:val="24"/>
        </w:rPr>
        <w:t xml:space="preserve"> isn’t</w:t>
      </w:r>
      <w:r w:rsidR="001D3CAE" w:rsidRPr="00FC4B3D">
        <w:rPr>
          <w:rFonts w:ascii="Garamond" w:hAnsi="Garamond"/>
          <w:sz w:val="24"/>
          <w:szCs w:val="24"/>
        </w:rPr>
        <w:t xml:space="preserve"> anything </w:t>
      </w:r>
      <w:r w:rsidRPr="00FC4B3D">
        <w:rPr>
          <w:rFonts w:ascii="Garamond" w:hAnsi="Garamond"/>
          <w:sz w:val="24"/>
          <w:szCs w:val="24"/>
        </w:rPr>
        <w:t>that</w:t>
      </w:r>
      <w:r w:rsidR="001D3CAE" w:rsidRPr="00FC4B3D">
        <w:rPr>
          <w:rFonts w:ascii="Garamond" w:hAnsi="Garamond"/>
          <w:sz w:val="24"/>
          <w:szCs w:val="24"/>
        </w:rPr>
        <w:t xml:space="preserve"> suggests that knowledge, for Wittgenstein, is to be understood somewhat in an externalist spirit and that it can be attained even if one is in no position to produce reasons for one’s own true beliefs. In fact, the idea that Wittgenstein would allow for the possibility of knowledge even when no reasons can be produced in favor of one’s claim is based on disregarding the</w:t>
      </w:r>
      <w:r w:rsidRPr="00FC4B3D">
        <w:rPr>
          <w:rFonts w:ascii="Garamond" w:hAnsi="Garamond"/>
          <w:sz w:val="24"/>
          <w:szCs w:val="24"/>
        </w:rPr>
        <w:t xml:space="preserve"> distinction between ordinary</w:t>
      </w:r>
      <w:r w:rsidR="001D3CAE" w:rsidRPr="00FC4B3D">
        <w:rPr>
          <w:rFonts w:ascii="Garamond" w:hAnsi="Garamond"/>
          <w:sz w:val="24"/>
          <w:szCs w:val="24"/>
        </w:rPr>
        <w:t xml:space="preserve"> and grammatical uses of “I know” he draws in </w:t>
      </w:r>
      <w:r w:rsidR="001D3CAE" w:rsidRPr="00FC4B3D">
        <w:rPr>
          <w:rFonts w:ascii="Garamond" w:hAnsi="Garamond"/>
          <w:i/>
          <w:sz w:val="24"/>
          <w:szCs w:val="24"/>
        </w:rPr>
        <w:t>On Certainty</w:t>
      </w:r>
      <w:r w:rsidR="001D3CAE" w:rsidRPr="00FC4B3D">
        <w:rPr>
          <w:rFonts w:ascii="Garamond" w:hAnsi="Garamond"/>
          <w:sz w:val="24"/>
          <w:szCs w:val="24"/>
        </w:rPr>
        <w:t xml:space="preserve">. </w:t>
      </w:r>
      <w:r w:rsidRPr="00FC4B3D">
        <w:rPr>
          <w:rFonts w:ascii="Garamond" w:hAnsi="Garamond"/>
          <w:sz w:val="24"/>
          <w:szCs w:val="24"/>
        </w:rPr>
        <w:t xml:space="preserve">As we saw (sect. </w:t>
      </w:r>
      <w:r w:rsidR="0002085C" w:rsidRPr="00FC4B3D">
        <w:rPr>
          <w:rFonts w:ascii="Garamond" w:hAnsi="Garamond"/>
          <w:sz w:val="24"/>
          <w:szCs w:val="24"/>
          <w:highlight w:val="yellow"/>
        </w:rPr>
        <w:t>1.2</w:t>
      </w:r>
      <w:r w:rsidRPr="00FC4B3D">
        <w:rPr>
          <w:rFonts w:ascii="Garamond" w:hAnsi="Garamond"/>
          <w:sz w:val="24"/>
          <w:szCs w:val="24"/>
        </w:rPr>
        <w:t>)</w:t>
      </w:r>
      <w:r w:rsidR="001D3CAE" w:rsidRPr="00FC4B3D">
        <w:rPr>
          <w:rFonts w:ascii="Garamond" w:hAnsi="Garamond"/>
          <w:sz w:val="24"/>
          <w:szCs w:val="24"/>
        </w:rPr>
        <w:t xml:space="preserve">, for Wittgenstein, only grammatical uses of “I know” are not backed by reasons. Furthermore, </w:t>
      </w:r>
      <w:r w:rsidRPr="00FC4B3D">
        <w:rPr>
          <w:rFonts w:ascii="Garamond" w:hAnsi="Garamond"/>
          <w:sz w:val="24"/>
          <w:szCs w:val="24"/>
        </w:rPr>
        <w:t xml:space="preserve">for him, </w:t>
      </w:r>
      <w:r w:rsidR="001D3CAE" w:rsidRPr="00FC4B3D">
        <w:rPr>
          <w:rFonts w:ascii="Garamond" w:hAnsi="Garamond"/>
          <w:sz w:val="24"/>
          <w:szCs w:val="24"/>
        </w:rPr>
        <w:t xml:space="preserve">they </w:t>
      </w:r>
      <w:proofErr w:type="gramStart"/>
      <w:r w:rsidR="001D3CAE" w:rsidRPr="00FC4B3D">
        <w:rPr>
          <w:rFonts w:ascii="Garamond" w:hAnsi="Garamond"/>
          <w:sz w:val="24"/>
          <w:szCs w:val="24"/>
        </w:rPr>
        <w:t>actually don’t</w:t>
      </w:r>
      <w:proofErr w:type="gramEnd"/>
      <w:r w:rsidR="001D3CAE" w:rsidRPr="00FC4B3D">
        <w:rPr>
          <w:rFonts w:ascii="Garamond" w:hAnsi="Garamond"/>
          <w:sz w:val="24"/>
          <w:szCs w:val="24"/>
        </w:rPr>
        <w:t xml:space="preserve"> express an epistemic relation between a subject and a proposition. Rather, they express a kind of certainty, which would be more perspicuously expressed by saying “Here a doubt is (logically) impossible”. Thus, we do not have anything in </w:t>
      </w:r>
      <w:r w:rsidR="001D3CAE" w:rsidRPr="00FC4B3D">
        <w:rPr>
          <w:rFonts w:ascii="Garamond" w:hAnsi="Garamond"/>
          <w:i/>
          <w:sz w:val="24"/>
          <w:szCs w:val="24"/>
        </w:rPr>
        <w:t>On Certainty</w:t>
      </w:r>
      <w:r w:rsidR="001D3CAE" w:rsidRPr="00FC4B3D">
        <w:rPr>
          <w:rFonts w:ascii="Garamond" w:hAnsi="Garamond"/>
          <w:sz w:val="24"/>
          <w:szCs w:val="24"/>
        </w:rPr>
        <w:t xml:space="preserve"> resembling the externalist idea that, even if we cannot produce reasons in favor of knowledge claims regarding hinges, we would know </w:t>
      </w:r>
      <w:proofErr w:type="gramStart"/>
      <w:r w:rsidR="001D3CAE" w:rsidRPr="00FC4B3D">
        <w:rPr>
          <w:rFonts w:ascii="Garamond" w:hAnsi="Garamond"/>
          <w:sz w:val="24"/>
          <w:szCs w:val="24"/>
        </w:rPr>
        <w:t>them</w:t>
      </w:r>
      <w:proofErr w:type="gramEnd"/>
      <w:r w:rsidR="001D3CAE" w:rsidRPr="00FC4B3D">
        <w:rPr>
          <w:rFonts w:ascii="Garamond" w:hAnsi="Garamond"/>
          <w:sz w:val="24"/>
          <w:szCs w:val="24"/>
        </w:rPr>
        <w:t xml:space="preserve"> nonetheless. Rather, we have the suggestion that the use of “I know” in their connection is a misleading expression of the</w:t>
      </w:r>
      <w:r w:rsidR="00EA506B" w:rsidRPr="00FC4B3D">
        <w:rPr>
          <w:rFonts w:ascii="Garamond" w:hAnsi="Garamond"/>
          <w:sz w:val="24"/>
          <w:szCs w:val="24"/>
        </w:rPr>
        <w:t xml:space="preserve"> kind of certainty that </w:t>
      </w:r>
      <w:r w:rsidR="001D3CAE" w:rsidRPr="00FC4B3D">
        <w:rPr>
          <w:rFonts w:ascii="Garamond" w:hAnsi="Garamond"/>
          <w:sz w:val="24"/>
          <w:szCs w:val="24"/>
        </w:rPr>
        <w:t>characterizes them. Namely, a certainty that has nothing subjective or psychological about it, but which depends on the role hinges play in the relevant epistemic practices.</w:t>
      </w:r>
    </w:p>
    <w:p w14:paraId="50561567" w14:textId="77777777" w:rsidR="001D3CAE" w:rsidRPr="00FC4B3D" w:rsidRDefault="000300ED" w:rsidP="001D3CAE">
      <w:pPr>
        <w:spacing w:after="0" w:line="360" w:lineRule="auto"/>
        <w:ind w:firstLine="357"/>
        <w:jc w:val="both"/>
        <w:rPr>
          <w:rFonts w:ascii="Garamond" w:hAnsi="Garamond"/>
          <w:sz w:val="24"/>
          <w:szCs w:val="24"/>
        </w:rPr>
      </w:pPr>
      <w:r w:rsidRPr="00FC4B3D">
        <w:rPr>
          <w:rFonts w:ascii="Garamond" w:hAnsi="Garamond"/>
          <w:sz w:val="24"/>
          <w:szCs w:val="24"/>
        </w:rPr>
        <w:t>Hence</w:t>
      </w:r>
      <w:r w:rsidR="001D3CAE" w:rsidRPr="00FC4B3D">
        <w:rPr>
          <w:rFonts w:ascii="Garamond" w:hAnsi="Garamond"/>
          <w:sz w:val="24"/>
          <w:szCs w:val="24"/>
        </w:rPr>
        <w:t xml:space="preserve">, all we get from these and other key passages in </w:t>
      </w:r>
      <w:r w:rsidR="001D3CAE" w:rsidRPr="00FC4B3D">
        <w:rPr>
          <w:rFonts w:ascii="Garamond" w:hAnsi="Garamond"/>
          <w:i/>
          <w:sz w:val="24"/>
          <w:szCs w:val="24"/>
        </w:rPr>
        <w:t>On Certainty</w:t>
      </w:r>
      <w:r w:rsidR="001D3CAE" w:rsidRPr="00FC4B3D">
        <w:rPr>
          <w:rFonts w:ascii="Garamond" w:hAnsi="Garamond"/>
          <w:sz w:val="24"/>
          <w:szCs w:val="24"/>
        </w:rPr>
        <w:t xml:space="preserve"> is the idea that justification and knowledge do not take place in a vacuum. They always depend on there being certain hinges, which, as such, cannot themselves be justified or known, yet allow us to acquire evidence for or against ordinary empirical propositions. They are therefore constitutive of the practice that in turn determines what being epistemically rational amounts to. Some of them can change in time – “Nobody has ever been on the Moon” is no longer a hinge for us – and according to context – sometimes “Here is my hand” is an empirical proposition we subject to verification and control. Yet, there are several of them we simply cannot revise, e.g. “The Earth has existed for a very long time”, “There are physical objects”, etc. on pain of giving up all our system of beliefs. This is not to say that they are metaphysically necessary but only that they play such a fundamental role in our </w:t>
      </w:r>
      <w:r w:rsidR="001D3CAE" w:rsidRPr="00FC4B3D">
        <w:rPr>
          <w:rFonts w:ascii="Garamond" w:hAnsi="Garamond"/>
          <w:i/>
          <w:sz w:val="24"/>
          <w:szCs w:val="24"/>
        </w:rPr>
        <w:t>Weltbild</w:t>
      </w:r>
      <w:r w:rsidR="001D3CAE" w:rsidRPr="00FC4B3D">
        <w:rPr>
          <w:rFonts w:ascii="Garamond" w:hAnsi="Garamond"/>
          <w:sz w:val="24"/>
          <w:szCs w:val="24"/>
        </w:rPr>
        <w:t xml:space="preserve"> that, from </w:t>
      </w:r>
      <w:r w:rsidR="001D3CAE" w:rsidRPr="00FC4B3D">
        <w:rPr>
          <w:rFonts w:ascii="Garamond" w:hAnsi="Garamond"/>
          <w:i/>
          <w:sz w:val="24"/>
          <w:szCs w:val="24"/>
        </w:rPr>
        <w:t>within it</w:t>
      </w:r>
      <w:r w:rsidR="001D3CAE" w:rsidRPr="00FC4B3D">
        <w:rPr>
          <w:rFonts w:ascii="Garamond" w:hAnsi="Garamond"/>
          <w:sz w:val="24"/>
          <w:szCs w:val="24"/>
        </w:rPr>
        <w:t xml:space="preserve"> – as we in fact are – we can’t </w:t>
      </w:r>
      <w:proofErr w:type="gramStart"/>
      <w:r w:rsidR="001D3CAE" w:rsidRPr="00FC4B3D">
        <w:rPr>
          <w:rFonts w:ascii="Garamond" w:hAnsi="Garamond"/>
          <w:sz w:val="24"/>
          <w:szCs w:val="24"/>
        </w:rPr>
        <w:t>actually find</w:t>
      </w:r>
      <w:proofErr w:type="gramEnd"/>
      <w:r w:rsidR="001D3CAE" w:rsidRPr="00FC4B3D">
        <w:rPr>
          <w:rFonts w:ascii="Garamond" w:hAnsi="Garamond"/>
          <w:sz w:val="24"/>
          <w:szCs w:val="24"/>
        </w:rPr>
        <w:t xml:space="preserve"> any reason to doubt them.</w:t>
      </w:r>
    </w:p>
    <w:p w14:paraId="117FEE28" w14:textId="77777777" w:rsidR="001D3CAE" w:rsidRPr="00FC4B3D" w:rsidRDefault="001D3CAE" w:rsidP="00482441">
      <w:pPr>
        <w:spacing w:after="0" w:line="360" w:lineRule="auto"/>
        <w:jc w:val="both"/>
        <w:rPr>
          <w:rFonts w:ascii="Garamond" w:hAnsi="Garamond" w:cs="Times New Roman"/>
          <w:sz w:val="24"/>
          <w:szCs w:val="24"/>
          <w:lang w:val="en-GB"/>
        </w:rPr>
      </w:pPr>
    </w:p>
    <w:p w14:paraId="73E030EC" w14:textId="77777777" w:rsidR="005C26EB" w:rsidRPr="00FC4B3D" w:rsidRDefault="005C26EB" w:rsidP="005C26EB">
      <w:pPr>
        <w:pStyle w:val="ListParagraph"/>
        <w:numPr>
          <w:ilvl w:val="0"/>
          <w:numId w:val="1"/>
        </w:numPr>
        <w:spacing w:after="0" w:line="360" w:lineRule="auto"/>
        <w:jc w:val="both"/>
        <w:rPr>
          <w:rFonts w:ascii="Garamond" w:hAnsi="Garamond" w:cs="Times New Roman"/>
          <w:b/>
          <w:sz w:val="24"/>
          <w:szCs w:val="24"/>
        </w:rPr>
      </w:pPr>
      <w:r w:rsidRPr="00FC4B3D">
        <w:rPr>
          <w:rFonts w:ascii="Garamond" w:hAnsi="Garamond" w:cs="Times New Roman"/>
          <w:b/>
          <w:sz w:val="24"/>
          <w:szCs w:val="24"/>
        </w:rPr>
        <w:t xml:space="preserve">Wittgenstein’s </w:t>
      </w:r>
      <w:proofErr w:type="spellStart"/>
      <w:r w:rsidRPr="00FC4B3D">
        <w:rPr>
          <w:rFonts w:ascii="Garamond" w:hAnsi="Garamond" w:cs="Times New Roman"/>
          <w:b/>
          <w:sz w:val="24"/>
          <w:szCs w:val="24"/>
        </w:rPr>
        <w:t>invariantism</w:t>
      </w:r>
      <w:proofErr w:type="spellEnd"/>
    </w:p>
    <w:p w14:paraId="7AC1B701" w14:textId="77777777" w:rsidR="0094375D" w:rsidRPr="00FC4B3D" w:rsidRDefault="00EA506B" w:rsidP="005C26EB">
      <w:pPr>
        <w:spacing w:line="360" w:lineRule="auto"/>
        <w:jc w:val="both"/>
        <w:rPr>
          <w:rFonts w:ascii="Garamond" w:hAnsi="Garamond"/>
          <w:sz w:val="24"/>
          <w:szCs w:val="24"/>
        </w:rPr>
      </w:pPr>
      <w:r w:rsidRPr="00FC4B3D">
        <w:rPr>
          <w:rFonts w:ascii="Garamond" w:hAnsi="Garamond"/>
          <w:sz w:val="24"/>
          <w:szCs w:val="24"/>
        </w:rPr>
        <w:t>What, on reflection,</w:t>
      </w:r>
      <w:r w:rsidR="0094375D" w:rsidRPr="00FC4B3D">
        <w:rPr>
          <w:rFonts w:ascii="Garamond" w:hAnsi="Garamond"/>
          <w:sz w:val="24"/>
          <w:szCs w:val="24"/>
        </w:rPr>
        <w:t xml:space="preserve"> </w:t>
      </w:r>
      <w:r w:rsidRPr="00FC4B3D">
        <w:rPr>
          <w:rFonts w:ascii="Garamond" w:hAnsi="Garamond"/>
          <w:sz w:val="24"/>
          <w:szCs w:val="24"/>
        </w:rPr>
        <w:t>the preceding shows is that</w:t>
      </w:r>
      <w:r w:rsidR="0094375D" w:rsidRPr="00FC4B3D">
        <w:rPr>
          <w:rFonts w:ascii="Garamond" w:hAnsi="Garamond"/>
          <w:sz w:val="24"/>
          <w:szCs w:val="24"/>
        </w:rPr>
        <w:t xml:space="preserve"> </w:t>
      </w:r>
      <w:r w:rsidR="002939A1" w:rsidRPr="00FC4B3D">
        <w:rPr>
          <w:rFonts w:ascii="Garamond" w:hAnsi="Garamond"/>
          <w:sz w:val="24"/>
          <w:szCs w:val="24"/>
        </w:rPr>
        <w:t>the ordinary use of “I k</w:t>
      </w:r>
      <w:r w:rsidR="005C26EB" w:rsidRPr="00FC4B3D">
        <w:rPr>
          <w:rFonts w:ascii="Garamond" w:hAnsi="Garamond"/>
          <w:sz w:val="24"/>
          <w:szCs w:val="24"/>
        </w:rPr>
        <w:t xml:space="preserve">now” is the only common ground between Wittgenstein’s position and contemporary contextualism. With respect to it, it turns out that Wittgenstein was in fact an </w:t>
      </w:r>
      <w:proofErr w:type="spellStart"/>
      <w:r w:rsidR="005C26EB" w:rsidRPr="00FC4B3D">
        <w:rPr>
          <w:rFonts w:ascii="Garamond" w:hAnsi="Garamond"/>
          <w:sz w:val="24"/>
          <w:szCs w:val="24"/>
        </w:rPr>
        <w:t>invariantist</w:t>
      </w:r>
      <w:proofErr w:type="spellEnd"/>
      <w:r w:rsidR="005C26EB" w:rsidRPr="00FC4B3D">
        <w:rPr>
          <w:rFonts w:ascii="Garamond" w:hAnsi="Garamond"/>
          <w:sz w:val="24"/>
          <w:szCs w:val="24"/>
        </w:rPr>
        <w:t xml:space="preserve">. Reasons for knowledge claims may be good or bad, but when they are bad, knowledge does not obtain and one’s claim to knowledge is simply false. Reasons can also be stronger or weaker and it may be an open issue how strong they need to be in order to make one’s true belief knowledgeable. Yet, even in this case, there is no play made with the idea that different contexts raise or lower standards such that one’s identical reasons may suffice or fail to suffice for knowledge. Thus, Wittgenstein’s and contemporary contextualism about knowledge are </w:t>
      </w:r>
      <w:proofErr w:type="gramStart"/>
      <w:r w:rsidR="005C26EB" w:rsidRPr="00FC4B3D">
        <w:rPr>
          <w:rFonts w:ascii="Garamond" w:hAnsi="Garamond"/>
          <w:sz w:val="24"/>
          <w:szCs w:val="24"/>
        </w:rPr>
        <w:t>actually completely</w:t>
      </w:r>
      <w:proofErr w:type="gramEnd"/>
      <w:r w:rsidR="005C26EB" w:rsidRPr="00FC4B3D">
        <w:rPr>
          <w:rFonts w:ascii="Garamond" w:hAnsi="Garamond"/>
          <w:sz w:val="24"/>
          <w:szCs w:val="24"/>
        </w:rPr>
        <w:t xml:space="preserve"> different and pass each other by.</w:t>
      </w:r>
    </w:p>
    <w:p w14:paraId="7496A981" w14:textId="77777777" w:rsidR="000300ED" w:rsidRPr="00FC4B3D" w:rsidRDefault="0002085C" w:rsidP="004605DF">
      <w:pPr>
        <w:spacing w:line="360" w:lineRule="auto"/>
        <w:ind w:firstLine="357"/>
        <w:jc w:val="both"/>
        <w:rPr>
          <w:rFonts w:ascii="Garamond" w:hAnsi="Garamond"/>
          <w:sz w:val="24"/>
          <w:szCs w:val="24"/>
        </w:rPr>
      </w:pPr>
      <w:r w:rsidRPr="00FC4B3D">
        <w:rPr>
          <w:rFonts w:ascii="Garamond" w:hAnsi="Garamond"/>
          <w:sz w:val="24"/>
          <w:szCs w:val="24"/>
        </w:rPr>
        <w:t>H</w:t>
      </w:r>
      <w:r w:rsidR="0094375D" w:rsidRPr="00FC4B3D">
        <w:rPr>
          <w:rFonts w:ascii="Garamond" w:hAnsi="Garamond"/>
          <w:sz w:val="24"/>
          <w:szCs w:val="24"/>
        </w:rPr>
        <w:t xml:space="preserve">owever, </w:t>
      </w:r>
      <w:r w:rsidRPr="00FC4B3D">
        <w:rPr>
          <w:rFonts w:ascii="Garamond" w:hAnsi="Garamond"/>
          <w:sz w:val="24"/>
          <w:szCs w:val="24"/>
        </w:rPr>
        <w:t xml:space="preserve">I would like </w:t>
      </w:r>
      <w:r w:rsidR="0094375D" w:rsidRPr="00FC4B3D">
        <w:rPr>
          <w:rFonts w:ascii="Garamond" w:hAnsi="Garamond"/>
          <w:sz w:val="24"/>
          <w:szCs w:val="24"/>
        </w:rPr>
        <w:t xml:space="preserve">to </w:t>
      </w:r>
      <w:r w:rsidR="004605DF" w:rsidRPr="00FC4B3D">
        <w:rPr>
          <w:rFonts w:ascii="Garamond" w:hAnsi="Garamond"/>
          <w:sz w:val="24"/>
          <w:szCs w:val="24"/>
        </w:rPr>
        <w:t>inquire</w:t>
      </w:r>
      <w:r w:rsidR="0094375D" w:rsidRPr="00FC4B3D">
        <w:rPr>
          <w:rFonts w:ascii="Garamond" w:hAnsi="Garamond"/>
          <w:sz w:val="24"/>
          <w:szCs w:val="24"/>
        </w:rPr>
        <w:t xml:space="preserve"> a bit deeper in</w:t>
      </w:r>
      <w:r w:rsidR="004605DF" w:rsidRPr="00FC4B3D">
        <w:rPr>
          <w:rFonts w:ascii="Garamond" w:hAnsi="Garamond"/>
          <w:sz w:val="24"/>
          <w:szCs w:val="24"/>
        </w:rPr>
        <w:t>to</w:t>
      </w:r>
      <w:r w:rsidR="0094375D" w:rsidRPr="00FC4B3D">
        <w:rPr>
          <w:rFonts w:ascii="Garamond" w:hAnsi="Garamond"/>
          <w:sz w:val="24"/>
          <w:szCs w:val="24"/>
        </w:rPr>
        <w:t xml:space="preserve"> Wittgenstein’s account of “I Know” to forestall a </w:t>
      </w:r>
      <w:r w:rsidR="004605DF" w:rsidRPr="00FC4B3D">
        <w:rPr>
          <w:rFonts w:ascii="Garamond" w:hAnsi="Garamond"/>
          <w:sz w:val="24"/>
          <w:szCs w:val="24"/>
        </w:rPr>
        <w:t>possible</w:t>
      </w:r>
      <w:r w:rsidR="0094375D" w:rsidRPr="00FC4B3D">
        <w:rPr>
          <w:rFonts w:ascii="Garamond" w:hAnsi="Garamond"/>
          <w:sz w:val="24"/>
          <w:szCs w:val="24"/>
        </w:rPr>
        <w:t xml:space="preserve"> of misunderstanding of his views</w:t>
      </w:r>
      <w:r w:rsidR="004605DF" w:rsidRPr="00FC4B3D">
        <w:rPr>
          <w:rFonts w:ascii="Garamond" w:hAnsi="Garamond"/>
          <w:sz w:val="24"/>
          <w:szCs w:val="24"/>
        </w:rPr>
        <w:t>,</w:t>
      </w:r>
      <w:r w:rsidR="0094375D" w:rsidRPr="00FC4B3D">
        <w:rPr>
          <w:rFonts w:ascii="Garamond" w:hAnsi="Garamond"/>
          <w:sz w:val="24"/>
          <w:szCs w:val="24"/>
        </w:rPr>
        <w:t xml:space="preserve"> which I find problematic and which, alas, is gaining currency in contemporary discussions of skepticism. Namely, that Wittgenstein’s view</w:t>
      </w:r>
      <w:r w:rsidR="004605DF" w:rsidRPr="00FC4B3D">
        <w:rPr>
          <w:rFonts w:ascii="Garamond" w:hAnsi="Garamond"/>
          <w:sz w:val="24"/>
          <w:szCs w:val="24"/>
        </w:rPr>
        <w:t>s</w:t>
      </w:r>
      <w:r w:rsidR="0094375D" w:rsidRPr="00FC4B3D">
        <w:rPr>
          <w:rFonts w:ascii="Garamond" w:hAnsi="Garamond"/>
          <w:sz w:val="24"/>
          <w:szCs w:val="24"/>
        </w:rPr>
        <w:t xml:space="preserve"> on the matter if not already committed to</w:t>
      </w:r>
      <w:r w:rsidR="004605DF" w:rsidRPr="00FC4B3D">
        <w:rPr>
          <w:rFonts w:ascii="Garamond" w:hAnsi="Garamond"/>
          <w:sz w:val="24"/>
          <w:szCs w:val="24"/>
        </w:rPr>
        <w:t xml:space="preserve"> it</w:t>
      </w:r>
      <w:r w:rsidR="0094375D" w:rsidRPr="00FC4B3D">
        <w:rPr>
          <w:rFonts w:ascii="Garamond" w:hAnsi="Garamond"/>
          <w:sz w:val="24"/>
          <w:szCs w:val="24"/>
        </w:rPr>
        <w:t>, are at least compatible with epi</w:t>
      </w:r>
      <w:r w:rsidR="004605DF" w:rsidRPr="00FC4B3D">
        <w:rPr>
          <w:rFonts w:ascii="Garamond" w:hAnsi="Garamond"/>
          <w:sz w:val="24"/>
          <w:szCs w:val="24"/>
        </w:rPr>
        <w:t xml:space="preserve">stemic </w:t>
      </w:r>
      <w:proofErr w:type="spellStart"/>
      <w:r w:rsidR="004605DF" w:rsidRPr="00FC4B3D">
        <w:rPr>
          <w:rFonts w:ascii="Garamond" w:hAnsi="Garamond"/>
          <w:sz w:val="24"/>
          <w:szCs w:val="24"/>
        </w:rPr>
        <w:t>disjunctivism</w:t>
      </w:r>
      <w:proofErr w:type="spellEnd"/>
      <w:r w:rsidR="004605DF" w:rsidRPr="00FC4B3D">
        <w:rPr>
          <w:rFonts w:ascii="Garamond" w:hAnsi="Garamond"/>
          <w:sz w:val="24"/>
          <w:szCs w:val="24"/>
        </w:rPr>
        <w:t>.</w:t>
      </w:r>
      <w:r w:rsidR="004605DF" w:rsidRPr="00FC4B3D">
        <w:rPr>
          <w:rStyle w:val="FootnoteReference"/>
          <w:rFonts w:ascii="Garamond" w:hAnsi="Garamond"/>
          <w:sz w:val="24"/>
          <w:szCs w:val="24"/>
        </w:rPr>
        <w:footnoteReference w:id="20"/>
      </w:r>
      <w:r w:rsidR="004605DF" w:rsidRPr="00FC4B3D">
        <w:rPr>
          <w:rFonts w:ascii="Garamond" w:hAnsi="Garamond"/>
          <w:sz w:val="24"/>
          <w:szCs w:val="24"/>
        </w:rPr>
        <w:t xml:space="preserve"> Accordingly, he would be committed to or at least in favor of the idea of the </w:t>
      </w:r>
      <w:proofErr w:type="spellStart"/>
      <w:r w:rsidR="004605DF" w:rsidRPr="00FC4B3D">
        <w:rPr>
          <w:rFonts w:ascii="Garamond" w:hAnsi="Garamond"/>
          <w:sz w:val="24"/>
          <w:szCs w:val="24"/>
        </w:rPr>
        <w:t>factivity</w:t>
      </w:r>
      <w:proofErr w:type="spellEnd"/>
      <w:r w:rsidR="004605DF" w:rsidRPr="00FC4B3D">
        <w:rPr>
          <w:rFonts w:ascii="Garamond" w:hAnsi="Garamond"/>
          <w:sz w:val="24"/>
          <w:szCs w:val="24"/>
        </w:rPr>
        <w:t xml:space="preserve"> of reasons (and not just of knowledge). That is, the idea that, in good case scenarios, when we do perceive objects in our surroundings, then the fact itself and not its perceptual representation would be our reason for holding “</w:t>
      </w:r>
      <w:r w:rsidRPr="00FC4B3D">
        <w:rPr>
          <w:rFonts w:ascii="Garamond" w:hAnsi="Garamond"/>
          <w:sz w:val="24"/>
          <w:szCs w:val="24"/>
        </w:rPr>
        <w:t>p</w:t>
      </w:r>
      <w:r w:rsidR="004605DF" w:rsidRPr="00FC4B3D">
        <w:rPr>
          <w:rFonts w:ascii="Garamond" w:hAnsi="Garamond"/>
          <w:sz w:val="24"/>
          <w:szCs w:val="24"/>
        </w:rPr>
        <w:t xml:space="preserve">” true. Consider the following </w:t>
      </w:r>
      <w:r w:rsidR="000300ED" w:rsidRPr="00FC4B3D">
        <w:rPr>
          <w:rFonts w:ascii="Garamond" w:eastAsia="Times New Roman" w:hAnsi="Garamond" w:cs="Times New Roman"/>
          <w:color w:val="000000"/>
          <w:sz w:val="24"/>
          <w:szCs w:val="24"/>
          <w:lang w:eastAsia="it-IT"/>
        </w:rPr>
        <w:t xml:space="preserve">passage in </w:t>
      </w:r>
      <w:r w:rsidR="000300ED" w:rsidRPr="00FC4B3D">
        <w:rPr>
          <w:rFonts w:ascii="Garamond" w:eastAsia="Times New Roman" w:hAnsi="Garamond" w:cs="Times New Roman"/>
          <w:i/>
          <w:color w:val="000000"/>
          <w:sz w:val="24"/>
          <w:szCs w:val="24"/>
          <w:lang w:eastAsia="it-IT"/>
        </w:rPr>
        <w:t>On Certainty</w:t>
      </w:r>
      <w:r w:rsidR="000300ED" w:rsidRPr="00FC4B3D">
        <w:rPr>
          <w:rFonts w:ascii="Garamond" w:eastAsia="Times New Roman" w:hAnsi="Garamond" w:cs="Times New Roman"/>
          <w:color w:val="000000"/>
          <w:sz w:val="24"/>
          <w:szCs w:val="24"/>
          <w:lang w:eastAsia="it-IT"/>
        </w:rPr>
        <w:t xml:space="preserve">, in which </w:t>
      </w:r>
      <w:r w:rsidR="004605DF" w:rsidRPr="00FC4B3D">
        <w:rPr>
          <w:rFonts w:ascii="Garamond" w:eastAsia="Times New Roman" w:hAnsi="Garamond" w:cs="Times New Roman"/>
          <w:color w:val="000000"/>
          <w:sz w:val="24"/>
          <w:szCs w:val="24"/>
          <w:lang w:eastAsia="it-IT"/>
        </w:rPr>
        <w:t>Wittgenstein</w:t>
      </w:r>
      <w:r w:rsidR="000300ED" w:rsidRPr="00FC4B3D">
        <w:rPr>
          <w:rFonts w:ascii="Garamond" w:eastAsia="Times New Roman" w:hAnsi="Garamond" w:cs="Times New Roman"/>
          <w:color w:val="000000"/>
          <w:sz w:val="24"/>
          <w:szCs w:val="24"/>
          <w:lang w:eastAsia="it-IT"/>
        </w:rPr>
        <w:t xml:space="preserve"> seems</w:t>
      </w:r>
      <w:r w:rsidR="004605DF" w:rsidRPr="00FC4B3D">
        <w:rPr>
          <w:rFonts w:ascii="Garamond" w:eastAsia="Times New Roman" w:hAnsi="Garamond" w:cs="Times New Roman"/>
          <w:color w:val="000000"/>
          <w:sz w:val="24"/>
          <w:szCs w:val="24"/>
          <w:lang w:eastAsia="it-IT"/>
        </w:rPr>
        <w:t>, strikingly,</w:t>
      </w:r>
      <w:r w:rsidR="000300ED" w:rsidRPr="00FC4B3D">
        <w:rPr>
          <w:rFonts w:ascii="Garamond" w:eastAsia="Times New Roman" w:hAnsi="Garamond" w:cs="Times New Roman"/>
          <w:color w:val="000000"/>
          <w:sz w:val="24"/>
          <w:szCs w:val="24"/>
          <w:lang w:eastAsia="it-IT"/>
        </w:rPr>
        <w:t xml:space="preserve"> to be discussing </w:t>
      </w:r>
      <w:r w:rsidR="000300ED" w:rsidRPr="00FC4B3D">
        <w:rPr>
          <w:rFonts w:ascii="Garamond" w:eastAsia="Times New Roman" w:hAnsi="Garamond" w:cs="Times New Roman"/>
          <w:i/>
          <w:color w:val="000000"/>
          <w:sz w:val="24"/>
          <w:szCs w:val="24"/>
          <w:lang w:eastAsia="it-IT"/>
        </w:rPr>
        <w:t xml:space="preserve">ante </w:t>
      </w:r>
      <w:proofErr w:type="spellStart"/>
      <w:r w:rsidR="000300ED" w:rsidRPr="00FC4B3D">
        <w:rPr>
          <w:rFonts w:ascii="Garamond" w:eastAsia="Times New Roman" w:hAnsi="Garamond" w:cs="Times New Roman"/>
          <w:i/>
          <w:color w:val="000000"/>
          <w:sz w:val="24"/>
          <w:szCs w:val="24"/>
          <w:lang w:eastAsia="it-IT"/>
        </w:rPr>
        <w:t>litteram</w:t>
      </w:r>
      <w:proofErr w:type="spellEnd"/>
      <w:r w:rsidR="004605DF" w:rsidRPr="00FC4B3D">
        <w:rPr>
          <w:rFonts w:ascii="Garamond" w:eastAsia="Times New Roman" w:hAnsi="Garamond" w:cs="Times New Roman"/>
          <w:color w:val="000000"/>
          <w:sz w:val="24"/>
          <w:szCs w:val="24"/>
          <w:lang w:eastAsia="it-IT"/>
        </w:rPr>
        <w:t xml:space="preserve"> </w:t>
      </w:r>
      <w:proofErr w:type="spellStart"/>
      <w:r w:rsidR="004605DF" w:rsidRPr="00FC4B3D">
        <w:rPr>
          <w:rFonts w:ascii="Garamond" w:eastAsia="Times New Roman" w:hAnsi="Garamond" w:cs="Times New Roman"/>
          <w:color w:val="000000"/>
          <w:sz w:val="24"/>
          <w:szCs w:val="24"/>
          <w:lang w:eastAsia="it-IT"/>
        </w:rPr>
        <w:t>disjunctivism</w:t>
      </w:r>
      <w:proofErr w:type="spellEnd"/>
      <w:r w:rsidR="000300ED" w:rsidRPr="00FC4B3D">
        <w:rPr>
          <w:rFonts w:ascii="Garamond" w:eastAsia="Times New Roman" w:hAnsi="Garamond" w:cs="Times New Roman"/>
          <w:color w:val="000000"/>
          <w:sz w:val="24"/>
          <w:szCs w:val="24"/>
          <w:lang w:eastAsia="it-IT"/>
        </w:rPr>
        <w:t>:</w:t>
      </w:r>
    </w:p>
    <w:p w14:paraId="52F1BBB7" w14:textId="77777777" w:rsidR="000300ED" w:rsidRPr="00FC4B3D" w:rsidRDefault="000300ED" w:rsidP="000300ED">
      <w:pPr>
        <w:spacing w:after="0" w:line="360" w:lineRule="auto"/>
        <w:ind w:firstLine="357"/>
        <w:jc w:val="both"/>
        <w:textAlignment w:val="baseline"/>
        <w:rPr>
          <w:rFonts w:ascii="Garamond" w:eastAsia="Times New Roman" w:hAnsi="Garamond" w:cs="Times New Roman"/>
          <w:color w:val="000000"/>
          <w:sz w:val="24"/>
          <w:szCs w:val="24"/>
          <w:lang w:eastAsia="it-IT"/>
        </w:rPr>
      </w:pPr>
    </w:p>
    <w:p w14:paraId="1EBB2D14" w14:textId="4F52548F" w:rsidR="000300ED" w:rsidRPr="00FC4B3D" w:rsidRDefault="000300ED" w:rsidP="004605DF">
      <w:pPr>
        <w:spacing w:after="0" w:line="360" w:lineRule="auto"/>
        <w:ind w:left="567"/>
        <w:jc w:val="both"/>
        <w:textAlignment w:val="baseline"/>
        <w:rPr>
          <w:rFonts w:ascii="Garamond" w:hAnsi="Garamond"/>
          <w:sz w:val="24"/>
          <w:szCs w:val="24"/>
        </w:rPr>
      </w:pPr>
      <w:r w:rsidRPr="00FC4B3D">
        <w:rPr>
          <w:rFonts w:ascii="Garamond" w:hAnsi="Garamond"/>
          <w:sz w:val="24"/>
          <w:szCs w:val="24"/>
        </w:rPr>
        <w:t xml:space="preserve">“I know” has a primitive meaning </w:t>
      </w:r>
      <w:proofErr w:type="gramStart"/>
      <w:r w:rsidRPr="00FC4B3D">
        <w:rPr>
          <w:rFonts w:ascii="Garamond" w:hAnsi="Garamond"/>
          <w:sz w:val="24"/>
          <w:szCs w:val="24"/>
        </w:rPr>
        <w:t>similar to</w:t>
      </w:r>
      <w:proofErr w:type="gramEnd"/>
      <w:r w:rsidRPr="00FC4B3D">
        <w:rPr>
          <w:rFonts w:ascii="Garamond" w:hAnsi="Garamond"/>
          <w:sz w:val="24"/>
          <w:szCs w:val="24"/>
        </w:rPr>
        <w:t xml:space="preserve"> and related to “I see” (“</w:t>
      </w:r>
      <w:proofErr w:type="spellStart"/>
      <w:r w:rsidRPr="00FC4B3D">
        <w:rPr>
          <w:rFonts w:ascii="Garamond" w:hAnsi="Garamond"/>
          <w:sz w:val="24"/>
          <w:szCs w:val="24"/>
        </w:rPr>
        <w:t>wissen</w:t>
      </w:r>
      <w:proofErr w:type="spellEnd"/>
      <w:r w:rsidRPr="00FC4B3D">
        <w:rPr>
          <w:rFonts w:ascii="Garamond" w:hAnsi="Garamond"/>
          <w:sz w:val="24"/>
          <w:szCs w:val="24"/>
        </w:rPr>
        <w:t>”, “</w:t>
      </w:r>
      <w:proofErr w:type="spellStart"/>
      <w:r w:rsidRPr="00FC4B3D">
        <w:rPr>
          <w:rFonts w:ascii="Garamond" w:hAnsi="Garamond"/>
          <w:sz w:val="24"/>
          <w:szCs w:val="24"/>
        </w:rPr>
        <w:t>videre</w:t>
      </w:r>
      <w:proofErr w:type="spellEnd"/>
      <w:r w:rsidRPr="00FC4B3D">
        <w:rPr>
          <w:rFonts w:ascii="Garamond" w:hAnsi="Garamond"/>
          <w:sz w:val="24"/>
          <w:szCs w:val="24"/>
        </w:rPr>
        <w:t>”). And “I knew he was in the room, but he wasn’t in the room” is like “I saw him in the room, but he wasn’t there”. “I know” is supposed to express a relation, not between me and the sense of a proposition (like “I believe”) but between me and a fact. So that the fact is taken into my consciousness. (Here is the reason why one wants to say that nothing that goes on in the outer world is really known, but only what happens in the domain of what are called sense-data.) This would give us a picture of knowing as the perception of an outer event through visual rays which project it as it is into the eye and the consciousness. Only then the question at once arises whether one can be certain of this projection. And this picture does indeed show how our imagination presents knowledge, but not what lies at the bottom of this presentation. (OC 90)</w:t>
      </w:r>
    </w:p>
    <w:p w14:paraId="2482E318" w14:textId="77777777" w:rsidR="00D9035B" w:rsidRPr="00FC4B3D" w:rsidRDefault="00D9035B" w:rsidP="004605DF">
      <w:pPr>
        <w:spacing w:after="0" w:line="360" w:lineRule="auto"/>
        <w:ind w:left="567"/>
        <w:jc w:val="both"/>
        <w:textAlignment w:val="baseline"/>
        <w:rPr>
          <w:rFonts w:ascii="Garamond" w:eastAsia="Times New Roman" w:hAnsi="Garamond" w:cs="Times New Roman"/>
          <w:color w:val="000000"/>
          <w:sz w:val="24"/>
          <w:szCs w:val="24"/>
          <w:lang w:eastAsia="it-IT"/>
        </w:rPr>
      </w:pPr>
    </w:p>
    <w:p w14:paraId="0DBD2AB1" w14:textId="77777777" w:rsidR="000300ED" w:rsidRPr="00FC4B3D" w:rsidRDefault="000300ED" w:rsidP="000300ED">
      <w:pPr>
        <w:spacing w:after="0" w:line="360" w:lineRule="auto"/>
        <w:jc w:val="both"/>
        <w:rPr>
          <w:rFonts w:ascii="Garamond" w:hAnsi="Garamond"/>
          <w:sz w:val="24"/>
          <w:szCs w:val="24"/>
        </w:rPr>
      </w:pPr>
      <w:r w:rsidRPr="00FC4B3D">
        <w:rPr>
          <w:rFonts w:ascii="Garamond" w:hAnsi="Garamond"/>
          <w:sz w:val="24"/>
          <w:szCs w:val="24"/>
        </w:rPr>
        <w:t>Wittgenstein was struck by the fact that in German the verb for “to know” is “</w:t>
      </w:r>
      <w:proofErr w:type="spellStart"/>
      <w:r w:rsidRPr="00FC4B3D">
        <w:rPr>
          <w:rFonts w:ascii="Garamond" w:hAnsi="Garamond"/>
          <w:sz w:val="24"/>
          <w:szCs w:val="24"/>
        </w:rPr>
        <w:t>wissen</w:t>
      </w:r>
      <w:proofErr w:type="spellEnd"/>
      <w:r w:rsidRPr="00FC4B3D">
        <w:rPr>
          <w:rFonts w:ascii="Garamond" w:hAnsi="Garamond"/>
          <w:sz w:val="24"/>
          <w:szCs w:val="24"/>
        </w:rPr>
        <w:t>”, which has the same root as the Latin “</w:t>
      </w:r>
      <w:proofErr w:type="spellStart"/>
      <w:r w:rsidRPr="00FC4B3D">
        <w:rPr>
          <w:rFonts w:ascii="Garamond" w:hAnsi="Garamond"/>
          <w:sz w:val="24"/>
          <w:szCs w:val="24"/>
        </w:rPr>
        <w:t>videre</w:t>
      </w:r>
      <w:proofErr w:type="spellEnd"/>
      <w:r w:rsidRPr="00FC4B3D">
        <w:rPr>
          <w:rFonts w:ascii="Garamond" w:hAnsi="Garamond"/>
          <w:sz w:val="24"/>
          <w:szCs w:val="24"/>
        </w:rPr>
        <w:t xml:space="preserve">” that obviously means “to see”. He also recognized the </w:t>
      </w:r>
      <w:proofErr w:type="spellStart"/>
      <w:r w:rsidRPr="00FC4B3D">
        <w:rPr>
          <w:rFonts w:ascii="Garamond" w:hAnsi="Garamond"/>
          <w:sz w:val="24"/>
          <w:szCs w:val="24"/>
        </w:rPr>
        <w:t>factivity</w:t>
      </w:r>
      <w:proofErr w:type="spellEnd"/>
      <w:r w:rsidRPr="00FC4B3D">
        <w:rPr>
          <w:rFonts w:ascii="Garamond" w:hAnsi="Garamond"/>
          <w:sz w:val="24"/>
          <w:szCs w:val="24"/>
        </w:rPr>
        <w:t xml:space="preserve"> of “to know”. For instance, in OC 178, he writes </w:t>
      </w:r>
    </w:p>
    <w:p w14:paraId="2D1B7449" w14:textId="77777777" w:rsidR="000300ED" w:rsidRPr="00FC4B3D" w:rsidRDefault="000300ED" w:rsidP="000300ED">
      <w:pPr>
        <w:spacing w:after="0" w:line="360" w:lineRule="auto"/>
        <w:ind w:firstLine="357"/>
        <w:jc w:val="both"/>
        <w:rPr>
          <w:rFonts w:ascii="Garamond" w:hAnsi="Garamond"/>
          <w:sz w:val="24"/>
          <w:szCs w:val="24"/>
        </w:rPr>
      </w:pPr>
    </w:p>
    <w:p w14:paraId="1148DFE7" w14:textId="4C4ECDD5" w:rsidR="000300ED" w:rsidRPr="00FC4B3D" w:rsidRDefault="000300ED" w:rsidP="000300ED">
      <w:pPr>
        <w:spacing w:after="0" w:line="360" w:lineRule="auto"/>
        <w:ind w:left="567"/>
        <w:jc w:val="both"/>
        <w:rPr>
          <w:rFonts w:ascii="Garamond" w:hAnsi="Garamond"/>
          <w:sz w:val="24"/>
          <w:szCs w:val="24"/>
        </w:rPr>
      </w:pPr>
      <w:r w:rsidRPr="00FC4B3D">
        <w:rPr>
          <w:rFonts w:ascii="Garamond" w:hAnsi="Garamond"/>
          <w:sz w:val="24"/>
          <w:szCs w:val="24"/>
        </w:rPr>
        <w:t>the wrong use made by Moore of the proposition “I know...” lies in his regarding it as an utterance as little subject to doubt as “I am in pain”. And since from “I know it is so” there follows “It is so”, then the latter can’t be doubted either.</w:t>
      </w:r>
    </w:p>
    <w:p w14:paraId="063B547A" w14:textId="77777777" w:rsidR="00D9035B" w:rsidRPr="00FC4B3D" w:rsidRDefault="00D9035B" w:rsidP="000300ED">
      <w:pPr>
        <w:spacing w:after="0" w:line="360" w:lineRule="auto"/>
        <w:ind w:left="567"/>
        <w:jc w:val="both"/>
        <w:rPr>
          <w:rFonts w:ascii="Garamond" w:hAnsi="Garamond"/>
          <w:sz w:val="24"/>
          <w:szCs w:val="24"/>
        </w:rPr>
      </w:pPr>
    </w:p>
    <w:p w14:paraId="33C24A0E" w14:textId="76DB7D0B" w:rsidR="000300ED" w:rsidRPr="00FC4B3D" w:rsidRDefault="000300ED" w:rsidP="000300ED">
      <w:pPr>
        <w:spacing w:after="0" w:line="360" w:lineRule="auto"/>
        <w:jc w:val="both"/>
        <w:rPr>
          <w:rFonts w:ascii="Garamond" w:hAnsi="Garamond"/>
          <w:sz w:val="24"/>
          <w:szCs w:val="24"/>
        </w:rPr>
      </w:pPr>
      <w:r w:rsidRPr="00FC4B3D">
        <w:rPr>
          <w:rFonts w:ascii="Garamond" w:hAnsi="Garamond"/>
          <w:sz w:val="24"/>
          <w:szCs w:val="24"/>
        </w:rPr>
        <w:t xml:space="preserve">Taking knowledge to be akin to seeing, together with its </w:t>
      </w:r>
      <w:proofErr w:type="spellStart"/>
      <w:r w:rsidRPr="00FC4B3D">
        <w:rPr>
          <w:rFonts w:ascii="Garamond" w:hAnsi="Garamond"/>
          <w:sz w:val="24"/>
          <w:szCs w:val="24"/>
        </w:rPr>
        <w:t>factivity</w:t>
      </w:r>
      <w:proofErr w:type="spellEnd"/>
      <w:r w:rsidRPr="00FC4B3D">
        <w:rPr>
          <w:rFonts w:ascii="Garamond" w:hAnsi="Garamond"/>
          <w:sz w:val="24"/>
          <w:szCs w:val="24"/>
        </w:rPr>
        <w:t xml:space="preserve">, produces a captivating “picture”, as he calls it. Namely, a picture according to which knowledge would consist in taking outer facts into one’s consciousness. Yet this is just a picture, and a bad one at that, for </w:t>
      </w:r>
      <w:r w:rsidR="004605DF" w:rsidRPr="00FC4B3D">
        <w:rPr>
          <w:rFonts w:ascii="Garamond" w:hAnsi="Garamond"/>
          <w:sz w:val="24"/>
          <w:szCs w:val="24"/>
        </w:rPr>
        <w:t>Wittgenstein. For w</w:t>
      </w:r>
      <w:r w:rsidRPr="00FC4B3D">
        <w:rPr>
          <w:rFonts w:ascii="Garamond" w:hAnsi="Garamond"/>
          <w:sz w:val="24"/>
          <w:szCs w:val="24"/>
        </w:rPr>
        <w:t xml:space="preserve">e do not take outer facts into consciousness; nor do we have knowledge only of inner facts, since the latter, being mental in nature, might be thought of being taken in consciousness directly. </w:t>
      </w:r>
      <w:r w:rsidR="00E11C1D" w:rsidRPr="00FC4B3D">
        <w:rPr>
          <w:rFonts w:ascii="Garamond" w:hAnsi="Garamond"/>
          <w:sz w:val="24"/>
          <w:szCs w:val="24"/>
        </w:rPr>
        <w:t>In fact, it is safe to say that for Wittgenstein there are no facts – outer or inner – prior to their being conceptualized in certain ways. Hence</w:t>
      </w:r>
      <w:r w:rsidRPr="00FC4B3D">
        <w:rPr>
          <w:rFonts w:ascii="Garamond" w:hAnsi="Garamond"/>
          <w:sz w:val="24"/>
          <w:szCs w:val="24"/>
        </w:rPr>
        <w:t xml:space="preserve">, </w:t>
      </w:r>
      <w:r w:rsidR="00E11C1D" w:rsidRPr="00FC4B3D">
        <w:rPr>
          <w:rFonts w:ascii="Garamond" w:hAnsi="Garamond"/>
          <w:sz w:val="24"/>
          <w:szCs w:val="24"/>
        </w:rPr>
        <w:t>it is only</w:t>
      </w:r>
      <w:r w:rsidRPr="00FC4B3D">
        <w:rPr>
          <w:rFonts w:ascii="Garamond" w:hAnsi="Garamond"/>
          <w:sz w:val="24"/>
          <w:szCs w:val="24"/>
        </w:rPr>
        <w:t xml:space="preserve"> thanks to pertinent hinges</w:t>
      </w:r>
      <w:r w:rsidR="00E11C1D" w:rsidRPr="00FC4B3D">
        <w:rPr>
          <w:rFonts w:ascii="Garamond" w:hAnsi="Garamond"/>
          <w:sz w:val="24"/>
          <w:szCs w:val="24"/>
        </w:rPr>
        <w:t xml:space="preserve"> that our perceptual experiences can be taken to bear onto physical objects and thus give us access to what we thereby categorize as outer facts</w:t>
      </w:r>
      <w:r w:rsidRPr="00FC4B3D">
        <w:rPr>
          <w:rFonts w:ascii="Garamond" w:hAnsi="Garamond"/>
          <w:sz w:val="24"/>
          <w:szCs w:val="24"/>
        </w:rPr>
        <w:t xml:space="preserve">. </w:t>
      </w:r>
      <w:r w:rsidR="00E11C1D" w:rsidRPr="00FC4B3D">
        <w:rPr>
          <w:rFonts w:ascii="Garamond" w:hAnsi="Garamond"/>
          <w:sz w:val="24"/>
          <w:szCs w:val="24"/>
        </w:rPr>
        <w:t>Furthermore, o</w:t>
      </w:r>
      <w:r w:rsidRPr="00FC4B3D">
        <w:rPr>
          <w:rFonts w:ascii="Garamond" w:hAnsi="Garamond"/>
          <w:sz w:val="24"/>
          <w:szCs w:val="24"/>
        </w:rPr>
        <w:t xml:space="preserve">ur knowledge, as fallible as </w:t>
      </w:r>
      <w:r w:rsidR="00E11C1D" w:rsidRPr="00FC4B3D">
        <w:rPr>
          <w:rFonts w:ascii="Garamond" w:hAnsi="Garamond"/>
          <w:sz w:val="24"/>
          <w:szCs w:val="24"/>
        </w:rPr>
        <w:t xml:space="preserve">it </w:t>
      </w:r>
      <w:r w:rsidRPr="00FC4B3D">
        <w:rPr>
          <w:rFonts w:ascii="Garamond" w:hAnsi="Garamond"/>
          <w:sz w:val="24"/>
          <w:szCs w:val="24"/>
        </w:rPr>
        <w:t xml:space="preserve">is, just consists in having true beliefs supported by defeasible reasons. Indeed, it is of the essence of knowledge, for Wittgenstein, that it be </w:t>
      </w:r>
      <w:proofErr w:type="gramStart"/>
      <w:r w:rsidRPr="00FC4B3D">
        <w:rPr>
          <w:rFonts w:ascii="Garamond" w:hAnsi="Garamond"/>
          <w:sz w:val="24"/>
          <w:szCs w:val="24"/>
        </w:rPr>
        <w:t>defeasible</w:t>
      </w:r>
      <w:proofErr w:type="gramEnd"/>
      <w:r w:rsidRPr="00FC4B3D">
        <w:rPr>
          <w:rFonts w:ascii="Garamond" w:hAnsi="Garamond"/>
          <w:sz w:val="24"/>
          <w:szCs w:val="24"/>
        </w:rPr>
        <w:t xml:space="preserve"> and this can be so only if knowledge does not depend on or entail having </w:t>
      </w:r>
      <w:proofErr w:type="spellStart"/>
      <w:r w:rsidRPr="00FC4B3D">
        <w:rPr>
          <w:rFonts w:ascii="Garamond" w:hAnsi="Garamond"/>
          <w:sz w:val="24"/>
          <w:szCs w:val="24"/>
        </w:rPr>
        <w:t>factive</w:t>
      </w:r>
      <w:proofErr w:type="spellEnd"/>
      <w:r w:rsidRPr="00FC4B3D">
        <w:rPr>
          <w:rFonts w:ascii="Garamond" w:hAnsi="Garamond"/>
          <w:sz w:val="24"/>
          <w:szCs w:val="24"/>
        </w:rPr>
        <w:t xml:space="preserve"> reasons for the propositions known. As he writes in OC 12,</w:t>
      </w:r>
    </w:p>
    <w:p w14:paraId="3F9FCA36" w14:textId="77777777" w:rsidR="000300ED" w:rsidRPr="00FC4B3D" w:rsidRDefault="000300ED" w:rsidP="000300ED">
      <w:pPr>
        <w:spacing w:after="0" w:line="360" w:lineRule="auto"/>
        <w:jc w:val="both"/>
        <w:rPr>
          <w:rFonts w:ascii="Garamond" w:hAnsi="Garamond"/>
          <w:sz w:val="24"/>
          <w:szCs w:val="24"/>
        </w:rPr>
      </w:pPr>
    </w:p>
    <w:p w14:paraId="701D4C43" w14:textId="53F49DD1" w:rsidR="000300ED" w:rsidRPr="00FC4B3D" w:rsidRDefault="000300ED" w:rsidP="004605DF">
      <w:pPr>
        <w:spacing w:after="0" w:line="360" w:lineRule="auto"/>
        <w:ind w:left="567"/>
        <w:jc w:val="both"/>
        <w:rPr>
          <w:rFonts w:ascii="Garamond" w:hAnsi="Garamond"/>
          <w:sz w:val="24"/>
          <w:szCs w:val="24"/>
        </w:rPr>
      </w:pPr>
      <w:r w:rsidRPr="00FC4B3D">
        <w:rPr>
          <w:rFonts w:ascii="Garamond" w:hAnsi="Garamond"/>
          <w:sz w:val="24"/>
          <w:szCs w:val="24"/>
        </w:rPr>
        <w:t xml:space="preserve">‘I know’ seems to describe a </w:t>
      </w:r>
      <w:proofErr w:type="gramStart"/>
      <w:r w:rsidRPr="00FC4B3D">
        <w:rPr>
          <w:rFonts w:ascii="Garamond" w:hAnsi="Garamond"/>
          <w:sz w:val="24"/>
          <w:szCs w:val="24"/>
        </w:rPr>
        <w:t>state of affairs which</w:t>
      </w:r>
      <w:proofErr w:type="gramEnd"/>
      <w:r w:rsidRPr="00FC4B3D">
        <w:rPr>
          <w:rFonts w:ascii="Garamond" w:hAnsi="Garamond"/>
          <w:sz w:val="24"/>
          <w:szCs w:val="24"/>
        </w:rPr>
        <w:t xml:space="preserve"> guarantees what is known, guarantees it as a fact. One always forgets the expression ‘I thought I knew’.</w:t>
      </w:r>
    </w:p>
    <w:p w14:paraId="6A57428D" w14:textId="77777777" w:rsidR="00E11C1D" w:rsidRPr="00FC4B3D" w:rsidRDefault="00E11C1D" w:rsidP="004605DF">
      <w:pPr>
        <w:spacing w:after="0" w:line="360" w:lineRule="auto"/>
        <w:ind w:left="567"/>
        <w:jc w:val="both"/>
        <w:rPr>
          <w:rFonts w:ascii="Garamond" w:hAnsi="Garamond"/>
          <w:sz w:val="24"/>
          <w:szCs w:val="24"/>
        </w:rPr>
      </w:pPr>
    </w:p>
    <w:p w14:paraId="2F038D98" w14:textId="77777777" w:rsidR="004605DF" w:rsidRPr="00FC4B3D" w:rsidRDefault="000300ED" w:rsidP="000300ED">
      <w:pPr>
        <w:spacing w:after="0" w:line="360" w:lineRule="auto"/>
        <w:jc w:val="both"/>
        <w:rPr>
          <w:rFonts w:ascii="Garamond" w:hAnsi="Garamond"/>
          <w:sz w:val="24"/>
          <w:szCs w:val="24"/>
        </w:rPr>
      </w:pPr>
      <w:proofErr w:type="spellStart"/>
      <w:r w:rsidRPr="00FC4B3D">
        <w:rPr>
          <w:rFonts w:ascii="Garamond" w:hAnsi="Garamond"/>
          <w:sz w:val="24"/>
          <w:szCs w:val="24"/>
        </w:rPr>
        <w:t>Disjunctivism</w:t>
      </w:r>
      <w:proofErr w:type="spellEnd"/>
      <w:r w:rsidRPr="00FC4B3D">
        <w:rPr>
          <w:rFonts w:ascii="Garamond" w:hAnsi="Garamond"/>
          <w:sz w:val="24"/>
          <w:szCs w:val="24"/>
        </w:rPr>
        <w:t xml:space="preserve">, with its insistence on </w:t>
      </w:r>
      <w:proofErr w:type="spellStart"/>
      <w:r w:rsidRPr="00FC4B3D">
        <w:rPr>
          <w:rFonts w:ascii="Garamond" w:hAnsi="Garamond"/>
          <w:sz w:val="24"/>
          <w:szCs w:val="24"/>
        </w:rPr>
        <w:t>factive</w:t>
      </w:r>
      <w:proofErr w:type="spellEnd"/>
      <w:r w:rsidRPr="00FC4B3D">
        <w:rPr>
          <w:rFonts w:ascii="Garamond" w:hAnsi="Garamond"/>
          <w:sz w:val="24"/>
          <w:szCs w:val="24"/>
        </w:rPr>
        <w:t xml:space="preserve"> reasons, is forgetful of this grammatical fact, as Wittgenstein would consider it. For, saying that one does know that </w:t>
      </w:r>
      <w:r w:rsidRPr="00FC4B3D">
        <w:rPr>
          <w:rFonts w:ascii="Garamond" w:hAnsi="Garamond"/>
          <w:i/>
          <w:sz w:val="24"/>
          <w:szCs w:val="24"/>
        </w:rPr>
        <w:t>p</w:t>
      </w:r>
      <w:r w:rsidRPr="00FC4B3D">
        <w:rPr>
          <w:rFonts w:ascii="Garamond" w:hAnsi="Garamond"/>
          <w:sz w:val="24"/>
          <w:szCs w:val="24"/>
        </w:rPr>
        <w:t xml:space="preserve">, </w:t>
      </w:r>
      <w:proofErr w:type="spellStart"/>
      <w:r w:rsidRPr="00FC4B3D">
        <w:rPr>
          <w:rFonts w:ascii="Garamond" w:hAnsi="Garamond"/>
          <w:sz w:val="24"/>
          <w:szCs w:val="24"/>
        </w:rPr>
        <w:t>iff</w:t>
      </w:r>
      <w:proofErr w:type="spellEnd"/>
      <w:r w:rsidRPr="00FC4B3D">
        <w:rPr>
          <w:rFonts w:ascii="Garamond" w:hAnsi="Garamond"/>
          <w:sz w:val="24"/>
          <w:szCs w:val="24"/>
        </w:rPr>
        <w:t xml:space="preserve"> one has </w:t>
      </w:r>
      <w:proofErr w:type="spellStart"/>
      <w:r w:rsidRPr="00FC4B3D">
        <w:rPr>
          <w:rFonts w:ascii="Garamond" w:hAnsi="Garamond"/>
          <w:sz w:val="24"/>
          <w:szCs w:val="24"/>
        </w:rPr>
        <w:t>factive</w:t>
      </w:r>
      <w:proofErr w:type="spellEnd"/>
      <w:r w:rsidRPr="00FC4B3D">
        <w:rPr>
          <w:rFonts w:ascii="Garamond" w:hAnsi="Garamond"/>
          <w:sz w:val="24"/>
          <w:szCs w:val="24"/>
        </w:rPr>
        <w:t xml:space="preserve"> reasons for </w:t>
      </w:r>
      <w:r w:rsidRPr="00FC4B3D">
        <w:rPr>
          <w:rFonts w:ascii="Garamond" w:hAnsi="Garamond"/>
          <w:i/>
          <w:sz w:val="24"/>
          <w:szCs w:val="24"/>
        </w:rPr>
        <w:t>p</w:t>
      </w:r>
      <w:r w:rsidRPr="00FC4B3D">
        <w:rPr>
          <w:rFonts w:ascii="Garamond" w:hAnsi="Garamond"/>
          <w:sz w:val="24"/>
          <w:szCs w:val="24"/>
        </w:rPr>
        <w:t xml:space="preserve"> – viz. because one has taken in the very fact that </w:t>
      </w:r>
      <w:r w:rsidRPr="00FC4B3D">
        <w:rPr>
          <w:rFonts w:ascii="Garamond" w:hAnsi="Garamond"/>
          <w:i/>
          <w:sz w:val="24"/>
          <w:szCs w:val="24"/>
        </w:rPr>
        <w:t>p</w:t>
      </w:r>
      <w:r w:rsidRPr="00FC4B3D">
        <w:rPr>
          <w:rFonts w:ascii="Garamond" w:hAnsi="Garamond"/>
          <w:sz w:val="24"/>
          <w:szCs w:val="24"/>
        </w:rPr>
        <w:t xml:space="preserve"> – excludes the possibility of being wrong – that one’s reasons may not be conclusive – and that </w:t>
      </w:r>
      <w:r w:rsidRPr="00FC4B3D">
        <w:rPr>
          <w:rFonts w:ascii="Garamond" w:hAnsi="Garamond"/>
          <w:i/>
          <w:sz w:val="24"/>
          <w:szCs w:val="24"/>
        </w:rPr>
        <w:t>p</w:t>
      </w:r>
      <w:r w:rsidRPr="00FC4B3D">
        <w:rPr>
          <w:rFonts w:ascii="Garamond" w:hAnsi="Garamond"/>
          <w:sz w:val="24"/>
          <w:szCs w:val="24"/>
        </w:rPr>
        <w:t xml:space="preserve"> isn’t the case. Yet Wittgenstein insists that it is only when that possibility remains open that we do have, and </w:t>
      </w:r>
      <w:proofErr w:type="gramStart"/>
      <w:r w:rsidRPr="00FC4B3D">
        <w:rPr>
          <w:rFonts w:ascii="Garamond" w:hAnsi="Garamond"/>
          <w:sz w:val="24"/>
          <w:szCs w:val="24"/>
        </w:rPr>
        <w:t>are allowed to</w:t>
      </w:r>
      <w:proofErr w:type="gramEnd"/>
      <w:r w:rsidRPr="00FC4B3D">
        <w:rPr>
          <w:rFonts w:ascii="Garamond" w:hAnsi="Garamond"/>
          <w:sz w:val="24"/>
          <w:szCs w:val="24"/>
        </w:rPr>
        <w:t xml:space="preserve"> claim, knowledge. When that possibility is not open, then we are </w:t>
      </w:r>
      <w:proofErr w:type="gramStart"/>
      <w:r w:rsidRPr="00FC4B3D">
        <w:rPr>
          <w:rFonts w:ascii="Garamond" w:hAnsi="Garamond"/>
          <w:sz w:val="24"/>
          <w:szCs w:val="24"/>
        </w:rPr>
        <w:t xml:space="preserve">actually </w:t>
      </w:r>
      <w:r w:rsidR="00EA506B" w:rsidRPr="00FC4B3D">
        <w:rPr>
          <w:rFonts w:ascii="Garamond" w:hAnsi="Garamond"/>
          <w:sz w:val="24"/>
          <w:szCs w:val="24"/>
        </w:rPr>
        <w:t>stumbling</w:t>
      </w:r>
      <w:proofErr w:type="gramEnd"/>
      <w:r w:rsidR="00EA506B" w:rsidRPr="00FC4B3D">
        <w:rPr>
          <w:rFonts w:ascii="Garamond" w:hAnsi="Garamond"/>
          <w:sz w:val="24"/>
          <w:szCs w:val="24"/>
        </w:rPr>
        <w:t xml:space="preserve"> on something categori</w:t>
      </w:r>
      <w:r w:rsidRPr="00FC4B3D">
        <w:rPr>
          <w:rFonts w:ascii="Garamond" w:hAnsi="Garamond"/>
          <w:sz w:val="24"/>
          <w:szCs w:val="24"/>
        </w:rPr>
        <w:t>ally different. Namely, a hinge</w:t>
      </w:r>
      <w:r w:rsidR="004605DF" w:rsidRPr="00FC4B3D">
        <w:rPr>
          <w:rFonts w:ascii="Garamond" w:hAnsi="Garamond"/>
          <w:sz w:val="24"/>
          <w:szCs w:val="24"/>
        </w:rPr>
        <w:t xml:space="preserve">, and our use of “I know” in that connection would </w:t>
      </w:r>
      <w:proofErr w:type="gramStart"/>
      <w:r w:rsidR="004605DF" w:rsidRPr="00FC4B3D">
        <w:rPr>
          <w:rFonts w:ascii="Garamond" w:hAnsi="Garamond"/>
          <w:sz w:val="24"/>
          <w:szCs w:val="24"/>
        </w:rPr>
        <w:t>actually not</w:t>
      </w:r>
      <w:proofErr w:type="gramEnd"/>
      <w:r w:rsidR="004605DF" w:rsidRPr="00FC4B3D">
        <w:rPr>
          <w:rFonts w:ascii="Garamond" w:hAnsi="Garamond"/>
          <w:sz w:val="24"/>
          <w:szCs w:val="24"/>
        </w:rPr>
        <w:t xml:space="preserve"> be the ordinary but the grammatical one, in which no epistemic relation obtaining between a subject and a proposition is expressed.</w:t>
      </w:r>
    </w:p>
    <w:p w14:paraId="365BBF62" w14:textId="2FD35D7B" w:rsidR="000300ED" w:rsidRPr="00FC4B3D" w:rsidRDefault="00E11C1D" w:rsidP="004605DF">
      <w:pPr>
        <w:spacing w:after="0" w:line="360" w:lineRule="auto"/>
        <w:ind w:firstLine="357"/>
        <w:jc w:val="both"/>
        <w:rPr>
          <w:rFonts w:ascii="Garamond" w:hAnsi="Garamond"/>
          <w:sz w:val="24"/>
          <w:szCs w:val="24"/>
        </w:rPr>
      </w:pPr>
      <w:r w:rsidRPr="00FC4B3D">
        <w:rPr>
          <w:rFonts w:ascii="Garamond" w:hAnsi="Garamond"/>
          <w:sz w:val="24"/>
          <w:szCs w:val="24"/>
        </w:rPr>
        <w:lastRenderedPageBreak/>
        <w:t xml:space="preserve">A </w:t>
      </w:r>
      <w:proofErr w:type="spellStart"/>
      <w:r w:rsidRPr="00FC4B3D">
        <w:rPr>
          <w:rFonts w:ascii="Garamond" w:hAnsi="Garamond"/>
          <w:sz w:val="24"/>
          <w:szCs w:val="24"/>
        </w:rPr>
        <w:t>disjunctivist</w:t>
      </w:r>
      <w:proofErr w:type="spellEnd"/>
      <w:r w:rsidRPr="00FC4B3D">
        <w:rPr>
          <w:rFonts w:ascii="Garamond" w:hAnsi="Garamond"/>
          <w:sz w:val="24"/>
          <w:szCs w:val="24"/>
        </w:rPr>
        <w:t xml:space="preserve"> might reply that her position is compatible with Wittgenstein’s because one might altogether lack </w:t>
      </w:r>
      <w:proofErr w:type="spellStart"/>
      <w:r w:rsidRPr="00FC4B3D">
        <w:rPr>
          <w:rFonts w:ascii="Garamond" w:hAnsi="Garamond"/>
          <w:sz w:val="24"/>
          <w:szCs w:val="24"/>
        </w:rPr>
        <w:t>factive</w:t>
      </w:r>
      <w:proofErr w:type="spellEnd"/>
      <w:r w:rsidRPr="00FC4B3D">
        <w:rPr>
          <w:rFonts w:ascii="Garamond" w:hAnsi="Garamond"/>
          <w:sz w:val="24"/>
          <w:szCs w:val="24"/>
        </w:rPr>
        <w:t xml:space="preserve"> reasons, contrary to one’s initial belief. Hence, one might say “I thought I kn</w:t>
      </w:r>
      <w:r w:rsidR="00BB6485" w:rsidRPr="00FC4B3D">
        <w:rPr>
          <w:rFonts w:ascii="Garamond" w:hAnsi="Garamond"/>
          <w:sz w:val="24"/>
          <w:szCs w:val="24"/>
        </w:rPr>
        <w:t>e</w:t>
      </w:r>
      <w:r w:rsidRPr="00FC4B3D">
        <w:rPr>
          <w:rFonts w:ascii="Garamond" w:hAnsi="Garamond"/>
          <w:sz w:val="24"/>
          <w:szCs w:val="24"/>
        </w:rPr>
        <w:t xml:space="preserve">w”. This, however, would simply mean that one didn’t have knowledge in the first place. It would not mean that one’s reasons, when one </w:t>
      </w:r>
      <w:r w:rsidRPr="00FC4B3D">
        <w:rPr>
          <w:rFonts w:ascii="Garamond" w:hAnsi="Garamond"/>
          <w:i/>
          <w:iCs/>
          <w:sz w:val="24"/>
          <w:szCs w:val="24"/>
        </w:rPr>
        <w:t>does</w:t>
      </w:r>
      <w:r w:rsidRPr="00FC4B3D">
        <w:rPr>
          <w:rFonts w:ascii="Garamond" w:hAnsi="Garamond"/>
          <w:sz w:val="24"/>
          <w:szCs w:val="24"/>
        </w:rPr>
        <w:t xml:space="preserve"> know, are defeasible. For, according to </w:t>
      </w:r>
      <w:proofErr w:type="spellStart"/>
      <w:r w:rsidRPr="00FC4B3D">
        <w:rPr>
          <w:rFonts w:ascii="Garamond" w:hAnsi="Garamond"/>
          <w:sz w:val="24"/>
          <w:szCs w:val="24"/>
        </w:rPr>
        <w:t>disjunctivists</w:t>
      </w:r>
      <w:proofErr w:type="spellEnd"/>
      <w:r w:rsidRPr="00FC4B3D">
        <w:rPr>
          <w:rFonts w:ascii="Garamond" w:hAnsi="Garamond"/>
          <w:sz w:val="24"/>
          <w:szCs w:val="24"/>
        </w:rPr>
        <w:t xml:space="preserve">, either we have perceptual </w:t>
      </w:r>
      <w:r w:rsidR="001E4B79" w:rsidRPr="00FC4B3D">
        <w:rPr>
          <w:rFonts w:ascii="Garamond" w:hAnsi="Garamond"/>
          <w:sz w:val="24"/>
          <w:szCs w:val="24"/>
        </w:rPr>
        <w:t>reasons,</w:t>
      </w:r>
      <w:r w:rsidRPr="00FC4B3D">
        <w:rPr>
          <w:rFonts w:ascii="Garamond" w:hAnsi="Garamond"/>
          <w:sz w:val="24"/>
          <w:szCs w:val="24"/>
        </w:rPr>
        <w:t xml:space="preserve"> and, in that case, they reach all the way down to facts, and cannot be defeated by any increment in information; or else, we don’t have perceptual reasons at all. Yet, the gist of OC 90 is that when genuine knowledge occurs – that is, when “I know” expresses a genuine epistemic relation (and is thus a case of “I Know”) – then reasons must be defeasible. If they weren’t, given that for Wittgenstein knowledge is </w:t>
      </w:r>
      <w:proofErr w:type="spellStart"/>
      <w:r w:rsidRPr="00FC4B3D">
        <w:rPr>
          <w:rFonts w:ascii="Garamond" w:hAnsi="Garamond"/>
          <w:sz w:val="24"/>
          <w:szCs w:val="24"/>
        </w:rPr>
        <w:t>factive</w:t>
      </w:r>
      <w:proofErr w:type="spellEnd"/>
      <w:r w:rsidRPr="00FC4B3D">
        <w:rPr>
          <w:rFonts w:ascii="Garamond" w:hAnsi="Garamond"/>
          <w:sz w:val="24"/>
          <w:szCs w:val="24"/>
        </w:rPr>
        <w:t xml:space="preserve">, knowledge and our knowledge-claims would then become infallible. Yet, it they were so infallible, they could not be genuinely epistemic. </w:t>
      </w:r>
      <w:r w:rsidR="001E4B79" w:rsidRPr="00FC4B3D">
        <w:rPr>
          <w:rFonts w:ascii="Garamond" w:hAnsi="Garamond"/>
          <w:sz w:val="24"/>
          <w:szCs w:val="24"/>
        </w:rPr>
        <w:t>Thus,</w:t>
      </w:r>
      <w:r w:rsidRPr="00FC4B3D">
        <w:rPr>
          <w:rFonts w:ascii="Garamond" w:hAnsi="Garamond"/>
          <w:sz w:val="24"/>
          <w:szCs w:val="24"/>
        </w:rPr>
        <w:t xml:space="preserve"> either they would amount to nonsense or could only be reinterpreted as grammatical. </w:t>
      </w:r>
      <w:r w:rsidR="001E4B79" w:rsidRPr="00FC4B3D">
        <w:rPr>
          <w:rFonts w:ascii="Garamond" w:hAnsi="Garamond"/>
          <w:sz w:val="24"/>
          <w:szCs w:val="24"/>
        </w:rPr>
        <w:t>For, a</w:t>
      </w:r>
      <w:r w:rsidRPr="00FC4B3D">
        <w:rPr>
          <w:rFonts w:ascii="Garamond" w:hAnsi="Garamond"/>
          <w:sz w:val="24"/>
          <w:szCs w:val="24"/>
        </w:rPr>
        <w:t xml:space="preserve">s we saw in </w:t>
      </w:r>
      <w:r w:rsidR="001E4B79" w:rsidRPr="00FC4B3D">
        <w:rPr>
          <w:rFonts w:ascii="Garamond" w:hAnsi="Garamond"/>
          <w:sz w:val="24"/>
          <w:szCs w:val="24"/>
        </w:rPr>
        <w:t>§1.3, straddling contexts and taking knowledge claims to be epistemic and infallible at once is what, for Wittgenstein, produces nonsense.</w:t>
      </w:r>
    </w:p>
    <w:p w14:paraId="78C9F128" w14:textId="77777777" w:rsidR="00E635B4" w:rsidRPr="00FC4B3D" w:rsidRDefault="00E635B4" w:rsidP="00591AAB">
      <w:pPr>
        <w:spacing w:line="360" w:lineRule="auto"/>
        <w:jc w:val="both"/>
        <w:rPr>
          <w:rFonts w:ascii="Garamond" w:hAnsi="Garamond"/>
          <w:sz w:val="24"/>
          <w:szCs w:val="24"/>
          <w:lang w:val="en-GB"/>
        </w:rPr>
      </w:pPr>
    </w:p>
    <w:p w14:paraId="76359492" w14:textId="77777777" w:rsidR="00A17776" w:rsidRPr="00FC4B3D" w:rsidRDefault="00A17776" w:rsidP="00A17776">
      <w:pPr>
        <w:pStyle w:val="ListParagraph"/>
        <w:numPr>
          <w:ilvl w:val="0"/>
          <w:numId w:val="1"/>
        </w:numPr>
        <w:spacing w:line="360" w:lineRule="auto"/>
        <w:jc w:val="both"/>
        <w:rPr>
          <w:rFonts w:ascii="Garamond" w:hAnsi="Garamond"/>
          <w:b/>
          <w:sz w:val="24"/>
          <w:szCs w:val="24"/>
          <w:lang w:val="en-GB"/>
        </w:rPr>
      </w:pPr>
      <w:r w:rsidRPr="00FC4B3D">
        <w:rPr>
          <w:rFonts w:ascii="Garamond" w:hAnsi="Garamond"/>
          <w:b/>
          <w:sz w:val="24"/>
          <w:szCs w:val="24"/>
          <w:lang w:val="en-GB"/>
        </w:rPr>
        <w:t xml:space="preserve">Hinge epistemology vs. contemporary contextualism vis-à-vis the </w:t>
      </w:r>
      <w:proofErr w:type="spellStart"/>
      <w:r w:rsidRPr="00FC4B3D">
        <w:rPr>
          <w:rFonts w:ascii="Garamond" w:hAnsi="Garamond"/>
          <w:b/>
          <w:sz w:val="24"/>
          <w:szCs w:val="24"/>
          <w:lang w:val="en-GB"/>
        </w:rPr>
        <w:t>skeptical</w:t>
      </w:r>
      <w:proofErr w:type="spellEnd"/>
      <w:r w:rsidRPr="00FC4B3D">
        <w:rPr>
          <w:rFonts w:ascii="Garamond" w:hAnsi="Garamond"/>
          <w:b/>
          <w:sz w:val="24"/>
          <w:szCs w:val="24"/>
          <w:lang w:val="en-GB"/>
        </w:rPr>
        <w:t xml:space="preserve"> challenge</w:t>
      </w:r>
    </w:p>
    <w:p w14:paraId="0091ADCA" w14:textId="77777777" w:rsidR="00765697" w:rsidRPr="00FC4B3D" w:rsidRDefault="00765697" w:rsidP="00A17776">
      <w:pPr>
        <w:spacing w:line="360" w:lineRule="auto"/>
        <w:jc w:val="both"/>
        <w:rPr>
          <w:rFonts w:ascii="Garamond" w:hAnsi="Garamond"/>
          <w:sz w:val="24"/>
          <w:szCs w:val="24"/>
        </w:rPr>
      </w:pPr>
      <w:r w:rsidRPr="00FC4B3D">
        <w:rPr>
          <w:rFonts w:ascii="Garamond" w:hAnsi="Garamond"/>
          <w:sz w:val="24"/>
          <w:szCs w:val="24"/>
        </w:rPr>
        <w:t>In closing, let me turn to</w:t>
      </w:r>
      <w:r w:rsidR="00A17776" w:rsidRPr="00FC4B3D">
        <w:rPr>
          <w:rFonts w:ascii="Garamond" w:hAnsi="Garamond"/>
          <w:sz w:val="24"/>
          <w:szCs w:val="24"/>
        </w:rPr>
        <w:t xml:space="preserve"> the relationship between </w:t>
      </w:r>
      <w:proofErr w:type="spellStart"/>
      <w:r w:rsidR="00A17776" w:rsidRPr="00FC4B3D">
        <w:rPr>
          <w:rFonts w:ascii="Garamond" w:hAnsi="Garamond"/>
          <w:sz w:val="24"/>
          <w:szCs w:val="24"/>
        </w:rPr>
        <w:t>invariantism</w:t>
      </w:r>
      <w:proofErr w:type="spellEnd"/>
      <w:r w:rsidR="00A17776" w:rsidRPr="00FC4B3D">
        <w:rPr>
          <w:rFonts w:ascii="Garamond" w:hAnsi="Garamond"/>
          <w:sz w:val="24"/>
          <w:szCs w:val="24"/>
        </w:rPr>
        <w:t xml:space="preserve"> about “I Know”, skepticism and my own version of hinge epistemology. The key point is that while I do not follow Wittgenstein in his claim that skeptical doubts are nonsensical, I don’t think they pose a threat </w:t>
      </w:r>
      <w:r w:rsidRPr="00FC4B3D">
        <w:rPr>
          <w:rFonts w:ascii="Garamond" w:hAnsi="Garamond"/>
          <w:sz w:val="24"/>
          <w:szCs w:val="24"/>
        </w:rPr>
        <w:t xml:space="preserve">to our knowledge either. </w:t>
      </w:r>
    </w:p>
    <w:p w14:paraId="6FC4BE86" w14:textId="5AB6047C" w:rsidR="007204F7" w:rsidRPr="00FC4B3D" w:rsidRDefault="007204F7" w:rsidP="007204F7">
      <w:pPr>
        <w:spacing w:line="360" w:lineRule="auto"/>
        <w:ind w:firstLine="720"/>
        <w:jc w:val="both"/>
        <w:rPr>
          <w:rFonts w:ascii="Garamond" w:hAnsi="Garamond"/>
          <w:sz w:val="24"/>
          <w:szCs w:val="24"/>
        </w:rPr>
      </w:pPr>
      <w:r w:rsidRPr="00FC4B3D">
        <w:rPr>
          <w:rFonts w:ascii="Garamond" w:hAnsi="Garamond"/>
          <w:sz w:val="24"/>
          <w:szCs w:val="24"/>
        </w:rPr>
        <w:t>Contrary to contemporary contextualists, I m</w:t>
      </w:r>
      <w:r w:rsidR="00B27204" w:rsidRPr="00FC4B3D">
        <w:rPr>
          <w:rFonts w:ascii="Garamond" w:hAnsi="Garamond"/>
          <w:sz w:val="24"/>
          <w:szCs w:val="24"/>
        </w:rPr>
        <w:t>ake no play with the idea that K</w:t>
      </w:r>
      <w:r w:rsidRPr="00FC4B3D">
        <w:rPr>
          <w:rFonts w:ascii="Garamond" w:hAnsi="Garamond"/>
          <w:sz w:val="24"/>
          <w:szCs w:val="24"/>
        </w:rPr>
        <w:t>nowledge ascriptions are context-dependent, such that, wh</w:t>
      </w:r>
      <w:r w:rsidR="00B27204" w:rsidRPr="00FC4B3D">
        <w:rPr>
          <w:rFonts w:ascii="Garamond" w:hAnsi="Garamond"/>
          <w:sz w:val="24"/>
          <w:szCs w:val="24"/>
        </w:rPr>
        <w:t>en the stakes are low, we have K</w:t>
      </w:r>
      <w:r w:rsidRPr="00FC4B3D">
        <w:rPr>
          <w:rFonts w:ascii="Garamond" w:hAnsi="Garamond"/>
          <w:sz w:val="24"/>
          <w:szCs w:val="24"/>
        </w:rPr>
        <w:t xml:space="preserve">nowledge </w:t>
      </w:r>
      <w:r w:rsidR="003C1C56" w:rsidRPr="00FC4B3D">
        <w:rPr>
          <w:rFonts w:ascii="Garamond" w:hAnsi="Garamond"/>
          <w:sz w:val="24"/>
          <w:szCs w:val="24"/>
        </w:rPr>
        <w:t>of</w:t>
      </w:r>
      <w:r w:rsidR="00EA506B" w:rsidRPr="00FC4B3D">
        <w:rPr>
          <w:rFonts w:ascii="Garamond" w:hAnsi="Garamond"/>
          <w:sz w:val="24"/>
          <w:szCs w:val="24"/>
        </w:rPr>
        <w:t xml:space="preserve"> </w:t>
      </w:r>
      <w:r w:rsidRPr="00FC4B3D">
        <w:rPr>
          <w:rFonts w:ascii="Garamond" w:hAnsi="Garamond"/>
          <w:sz w:val="24"/>
          <w:szCs w:val="24"/>
        </w:rPr>
        <w:t xml:space="preserve">the </w:t>
      </w:r>
      <w:r w:rsidR="003C1C56" w:rsidRPr="00FC4B3D">
        <w:rPr>
          <w:rFonts w:ascii="Garamond" w:hAnsi="Garamond"/>
          <w:sz w:val="24"/>
          <w:szCs w:val="24"/>
        </w:rPr>
        <w:t>first premise</w:t>
      </w:r>
      <w:r w:rsidRPr="00FC4B3D">
        <w:rPr>
          <w:rFonts w:ascii="Garamond" w:hAnsi="Garamond"/>
          <w:sz w:val="24"/>
          <w:szCs w:val="24"/>
        </w:rPr>
        <w:t xml:space="preserve"> and </w:t>
      </w:r>
      <w:r w:rsidR="00BB6485" w:rsidRPr="00FC4B3D">
        <w:rPr>
          <w:rFonts w:ascii="Garamond" w:hAnsi="Garamond"/>
          <w:sz w:val="24"/>
          <w:szCs w:val="24"/>
        </w:rPr>
        <w:t xml:space="preserve">of </w:t>
      </w:r>
      <w:r w:rsidRPr="00FC4B3D">
        <w:rPr>
          <w:rFonts w:ascii="Garamond" w:hAnsi="Garamond"/>
          <w:sz w:val="24"/>
          <w:szCs w:val="24"/>
        </w:rPr>
        <w:t>the conclusion of the following argument:</w:t>
      </w:r>
    </w:p>
    <w:p w14:paraId="69CE17F5" w14:textId="77777777" w:rsidR="007204F7" w:rsidRPr="00FC4B3D" w:rsidRDefault="007204F7" w:rsidP="007204F7">
      <w:pPr>
        <w:pStyle w:val="ListParagraph"/>
        <w:numPr>
          <w:ilvl w:val="0"/>
          <w:numId w:val="14"/>
        </w:numPr>
        <w:spacing w:line="360" w:lineRule="auto"/>
        <w:jc w:val="both"/>
        <w:rPr>
          <w:rFonts w:ascii="Garamond" w:hAnsi="Garamond"/>
          <w:sz w:val="24"/>
          <w:szCs w:val="24"/>
        </w:rPr>
      </w:pPr>
      <w:r w:rsidRPr="00FC4B3D">
        <w:rPr>
          <w:rFonts w:ascii="Garamond" w:hAnsi="Garamond"/>
          <w:sz w:val="24"/>
          <w:szCs w:val="24"/>
        </w:rPr>
        <w:t>Here is my hand;</w:t>
      </w:r>
      <w:r w:rsidR="003C1C56" w:rsidRPr="00FC4B3D">
        <w:rPr>
          <w:rStyle w:val="FootnoteReference"/>
          <w:rFonts w:ascii="Garamond" w:hAnsi="Garamond"/>
          <w:sz w:val="24"/>
          <w:szCs w:val="24"/>
        </w:rPr>
        <w:footnoteReference w:id="21"/>
      </w:r>
    </w:p>
    <w:p w14:paraId="227A125C" w14:textId="77777777" w:rsidR="007204F7" w:rsidRPr="00FC4B3D" w:rsidRDefault="007204F7" w:rsidP="007204F7">
      <w:pPr>
        <w:pStyle w:val="ListParagraph"/>
        <w:numPr>
          <w:ilvl w:val="0"/>
          <w:numId w:val="14"/>
        </w:numPr>
        <w:spacing w:line="360" w:lineRule="auto"/>
        <w:jc w:val="both"/>
        <w:rPr>
          <w:rFonts w:ascii="Garamond" w:hAnsi="Garamond"/>
          <w:sz w:val="24"/>
          <w:szCs w:val="24"/>
        </w:rPr>
      </w:pPr>
      <w:r w:rsidRPr="00FC4B3D">
        <w:rPr>
          <w:rFonts w:ascii="Garamond" w:hAnsi="Garamond"/>
          <w:sz w:val="24"/>
          <w:szCs w:val="24"/>
        </w:rPr>
        <w:t>If there is my hand here, I am not a BIV;</w:t>
      </w:r>
    </w:p>
    <w:p w14:paraId="401F0CAB" w14:textId="77777777" w:rsidR="007204F7" w:rsidRPr="00FC4B3D" w:rsidRDefault="007204F7" w:rsidP="007204F7">
      <w:pPr>
        <w:pStyle w:val="ListParagraph"/>
        <w:numPr>
          <w:ilvl w:val="0"/>
          <w:numId w:val="14"/>
        </w:numPr>
        <w:spacing w:line="360" w:lineRule="auto"/>
        <w:jc w:val="both"/>
        <w:rPr>
          <w:rFonts w:ascii="Garamond" w:hAnsi="Garamond"/>
          <w:sz w:val="24"/>
          <w:szCs w:val="24"/>
        </w:rPr>
      </w:pPr>
      <w:r w:rsidRPr="00FC4B3D">
        <w:rPr>
          <w:rFonts w:ascii="Garamond" w:hAnsi="Garamond"/>
          <w:sz w:val="24"/>
          <w:szCs w:val="24"/>
        </w:rPr>
        <w:t>I am not a BIV.</w:t>
      </w:r>
    </w:p>
    <w:p w14:paraId="0235CD46" w14:textId="77777777" w:rsidR="007204F7" w:rsidRPr="00FC4B3D" w:rsidRDefault="007204F7" w:rsidP="007204F7">
      <w:pPr>
        <w:spacing w:line="360" w:lineRule="auto"/>
        <w:jc w:val="both"/>
        <w:rPr>
          <w:rFonts w:ascii="Garamond" w:hAnsi="Garamond"/>
          <w:sz w:val="24"/>
          <w:szCs w:val="24"/>
        </w:rPr>
      </w:pPr>
      <w:r w:rsidRPr="00FC4B3D">
        <w:rPr>
          <w:rFonts w:ascii="Garamond" w:hAnsi="Garamond"/>
          <w:sz w:val="24"/>
          <w:szCs w:val="24"/>
        </w:rPr>
        <w:t>Whereas, when produced in the philosophical context, where standards for</w:t>
      </w:r>
      <w:r w:rsidR="00B27204" w:rsidRPr="00FC4B3D">
        <w:rPr>
          <w:rFonts w:ascii="Garamond" w:hAnsi="Garamond"/>
          <w:sz w:val="24"/>
          <w:szCs w:val="24"/>
        </w:rPr>
        <w:t xml:space="preserve"> K</w:t>
      </w:r>
      <w:r w:rsidRPr="00FC4B3D">
        <w:rPr>
          <w:rFonts w:ascii="Garamond" w:hAnsi="Garamond"/>
          <w:sz w:val="24"/>
          <w:szCs w:val="24"/>
        </w:rPr>
        <w:t>nowledge go up and</w:t>
      </w:r>
      <w:r w:rsidR="001914F1" w:rsidRPr="00FC4B3D">
        <w:rPr>
          <w:rFonts w:ascii="Garamond" w:hAnsi="Garamond"/>
          <w:sz w:val="24"/>
          <w:szCs w:val="24"/>
        </w:rPr>
        <w:t xml:space="preserve"> we are required to exclude </w:t>
      </w:r>
      <w:r w:rsidR="00B27204" w:rsidRPr="00FC4B3D">
        <w:rPr>
          <w:rFonts w:ascii="Garamond" w:hAnsi="Garamond"/>
          <w:sz w:val="24"/>
          <w:szCs w:val="24"/>
        </w:rPr>
        <w:t xml:space="preserve">the negation of </w:t>
      </w:r>
      <w:r w:rsidR="001914F1" w:rsidRPr="00FC4B3D">
        <w:rPr>
          <w:rFonts w:ascii="Garamond" w:hAnsi="Garamond"/>
          <w:sz w:val="24"/>
          <w:szCs w:val="24"/>
        </w:rPr>
        <w:t>(3)</w:t>
      </w:r>
      <w:r w:rsidR="00B27204" w:rsidRPr="00FC4B3D">
        <w:rPr>
          <w:rFonts w:ascii="Garamond" w:hAnsi="Garamond"/>
          <w:sz w:val="24"/>
          <w:szCs w:val="24"/>
        </w:rPr>
        <w:t xml:space="preserve"> in order to have K</w:t>
      </w:r>
      <w:r w:rsidRPr="00FC4B3D">
        <w:rPr>
          <w:rFonts w:ascii="Garamond" w:hAnsi="Garamond"/>
          <w:sz w:val="24"/>
          <w:szCs w:val="24"/>
        </w:rPr>
        <w:t>now</w:t>
      </w:r>
      <w:r w:rsidR="00B27204" w:rsidRPr="00FC4B3D">
        <w:rPr>
          <w:rFonts w:ascii="Garamond" w:hAnsi="Garamond"/>
          <w:sz w:val="24"/>
          <w:szCs w:val="24"/>
        </w:rPr>
        <w:t>ledge of (1), we end up having K</w:t>
      </w:r>
      <w:r w:rsidRPr="00FC4B3D">
        <w:rPr>
          <w:rFonts w:ascii="Garamond" w:hAnsi="Garamond"/>
          <w:sz w:val="24"/>
          <w:szCs w:val="24"/>
        </w:rPr>
        <w:t xml:space="preserve">nowledge of neither. </w:t>
      </w:r>
    </w:p>
    <w:p w14:paraId="65109F0A" w14:textId="13D6E9DB" w:rsidR="00765697" w:rsidRPr="00FC4B3D" w:rsidRDefault="001914F1" w:rsidP="00765697">
      <w:pPr>
        <w:spacing w:line="360" w:lineRule="auto"/>
        <w:ind w:firstLine="720"/>
        <w:jc w:val="both"/>
        <w:rPr>
          <w:rFonts w:ascii="Garamond" w:hAnsi="Garamond"/>
          <w:sz w:val="24"/>
          <w:szCs w:val="24"/>
        </w:rPr>
      </w:pPr>
      <w:r w:rsidRPr="00FC4B3D">
        <w:rPr>
          <w:rFonts w:ascii="Garamond" w:hAnsi="Garamond"/>
          <w:sz w:val="24"/>
          <w:szCs w:val="24"/>
        </w:rPr>
        <w:t xml:space="preserve">Rather, on my view, </w:t>
      </w:r>
      <w:r w:rsidR="00A17776" w:rsidRPr="00FC4B3D">
        <w:rPr>
          <w:rFonts w:ascii="Garamond" w:hAnsi="Garamond"/>
          <w:sz w:val="24"/>
          <w:szCs w:val="24"/>
        </w:rPr>
        <w:t>thanks to empirical evidence and to the relevant hinges such as “There is an external world”, “My sense organs are generally reliable”,</w:t>
      </w:r>
      <w:r w:rsidR="003C1C56" w:rsidRPr="00FC4B3D">
        <w:rPr>
          <w:rFonts w:ascii="Garamond" w:hAnsi="Garamond"/>
          <w:sz w:val="24"/>
          <w:szCs w:val="24"/>
        </w:rPr>
        <w:t xml:space="preserve"> “I am not a BIV”,</w:t>
      </w:r>
      <w:r w:rsidR="00A17776" w:rsidRPr="00FC4B3D">
        <w:rPr>
          <w:rFonts w:ascii="Garamond" w:hAnsi="Garamond"/>
          <w:sz w:val="24"/>
          <w:szCs w:val="24"/>
        </w:rPr>
        <w:t xml:space="preserve"> etc. </w:t>
      </w:r>
      <w:r w:rsidR="00765697" w:rsidRPr="00FC4B3D">
        <w:rPr>
          <w:rFonts w:ascii="Garamond" w:hAnsi="Garamond"/>
          <w:sz w:val="24"/>
          <w:szCs w:val="24"/>
        </w:rPr>
        <w:t xml:space="preserve">we </w:t>
      </w:r>
      <w:r w:rsidR="00BB6485" w:rsidRPr="00FC4B3D">
        <w:rPr>
          <w:rFonts w:ascii="Garamond" w:hAnsi="Garamond"/>
          <w:sz w:val="24"/>
          <w:szCs w:val="24"/>
        </w:rPr>
        <w:t>can</w:t>
      </w:r>
      <w:r w:rsidR="00BB6485" w:rsidRPr="00FC4B3D">
        <w:rPr>
          <w:rFonts w:ascii="Garamond" w:hAnsi="Garamond"/>
          <w:sz w:val="24"/>
          <w:szCs w:val="24"/>
        </w:rPr>
        <w:t xml:space="preserve"> </w:t>
      </w:r>
      <w:r w:rsidR="00765697" w:rsidRPr="00FC4B3D">
        <w:rPr>
          <w:rFonts w:ascii="Garamond" w:hAnsi="Garamond"/>
          <w:sz w:val="24"/>
          <w:szCs w:val="24"/>
        </w:rPr>
        <w:t xml:space="preserve">have Knowledge </w:t>
      </w:r>
      <w:r w:rsidR="00765697" w:rsidRPr="00FC4B3D">
        <w:rPr>
          <w:rFonts w:ascii="Garamond" w:hAnsi="Garamond"/>
          <w:sz w:val="24"/>
          <w:szCs w:val="24"/>
        </w:rPr>
        <w:lastRenderedPageBreak/>
        <w:t>of ordinary empirical propositions. This is indeed the gist of what I call the moderate account of perceptual justification. Namely:</w:t>
      </w:r>
    </w:p>
    <w:p w14:paraId="49B22DB5" w14:textId="77777777" w:rsidR="00B21E60" w:rsidRPr="00FC4B3D" w:rsidRDefault="00F23579" w:rsidP="003C1C56">
      <w:pPr>
        <w:spacing w:line="360" w:lineRule="auto"/>
        <w:ind w:left="720"/>
        <w:jc w:val="both"/>
        <w:rPr>
          <w:rFonts w:ascii="Garamond" w:hAnsi="Garamond"/>
          <w:sz w:val="24"/>
          <w:szCs w:val="24"/>
        </w:rPr>
      </w:pPr>
      <w:r w:rsidRPr="00FC4B3D">
        <w:rPr>
          <w:rFonts w:ascii="Garamond" w:hAnsi="Garamond"/>
          <w:b/>
          <w:bCs/>
          <w:sz w:val="24"/>
          <w:szCs w:val="24"/>
        </w:rPr>
        <w:t>Moderate conception</w:t>
      </w:r>
      <w:r w:rsidR="003C1C56" w:rsidRPr="00FC4B3D">
        <w:rPr>
          <w:rFonts w:ascii="Garamond" w:hAnsi="Garamond"/>
          <w:b/>
          <w:bCs/>
          <w:sz w:val="24"/>
          <w:szCs w:val="24"/>
        </w:rPr>
        <w:t xml:space="preserve"> of perceptual justification</w:t>
      </w:r>
      <w:r w:rsidRPr="00FC4B3D">
        <w:rPr>
          <w:rFonts w:ascii="Garamond" w:hAnsi="Garamond"/>
          <w:sz w:val="24"/>
          <w:szCs w:val="24"/>
        </w:rPr>
        <w:t>: in order to have a percep</w:t>
      </w:r>
      <w:r w:rsidR="003C1C56" w:rsidRPr="00FC4B3D">
        <w:rPr>
          <w:rFonts w:ascii="Garamond" w:hAnsi="Garamond"/>
          <w:sz w:val="24"/>
          <w:szCs w:val="24"/>
        </w:rPr>
        <w:t>tual justification for P (e.g. “Here is my hand”</w:t>
      </w:r>
      <w:r w:rsidRPr="00FC4B3D">
        <w:rPr>
          <w:rFonts w:ascii="Garamond" w:hAnsi="Garamond"/>
          <w:sz w:val="24"/>
          <w:szCs w:val="24"/>
        </w:rPr>
        <w:t xml:space="preserve">) you need a hand-like experience, </w:t>
      </w:r>
      <w:r w:rsidR="003C1C56" w:rsidRPr="00FC4B3D">
        <w:rPr>
          <w:rFonts w:ascii="Garamond" w:hAnsi="Garamond"/>
          <w:sz w:val="24"/>
          <w:szCs w:val="24"/>
        </w:rPr>
        <w:t>no defeaters, and to assume Q (“</w:t>
      </w:r>
      <w:r w:rsidRPr="00FC4B3D">
        <w:rPr>
          <w:rFonts w:ascii="Garamond" w:hAnsi="Garamond"/>
          <w:sz w:val="24"/>
          <w:szCs w:val="24"/>
        </w:rPr>
        <w:t>There is an external world</w:t>
      </w:r>
      <w:r w:rsidR="003C1C56" w:rsidRPr="00FC4B3D">
        <w:rPr>
          <w:rFonts w:ascii="Garamond" w:hAnsi="Garamond"/>
          <w:sz w:val="24"/>
          <w:szCs w:val="24"/>
        </w:rPr>
        <w:t>”</w:t>
      </w:r>
      <w:r w:rsidR="00EE0FFE" w:rsidRPr="00FC4B3D">
        <w:rPr>
          <w:rFonts w:ascii="Garamond" w:hAnsi="Garamond"/>
          <w:sz w:val="24"/>
          <w:szCs w:val="24"/>
        </w:rPr>
        <w:t xml:space="preserve">, </w:t>
      </w:r>
      <w:proofErr w:type="spellStart"/>
      <w:r w:rsidR="00EE0FFE" w:rsidRPr="00FC4B3D">
        <w:rPr>
          <w:rFonts w:ascii="Garamond" w:hAnsi="Garamond"/>
          <w:sz w:val="24"/>
          <w:szCs w:val="24"/>
        </w:rPr>
        <w:t>etc</w:t>
      </w:r>
      <w:proofErr w:type="spellEnd"/>
      <w:r w:rsidRPr="00FC4B3D">
        <w:rPr>
          <w:rFonts w:ascii="Garamond" w:hAnsi="Garamond"/>
          <w:sz w:val="24"/>
          <w:szCs w:val="24"/>
        </w:rPr>
        <w:t>).</w:t>
      </w:r>
      <w:r w:rsidR="003C1C56" w:rsidRPr="00FC4B3D">
        <w:rPr>
          <w:rStyle w:val="FootnoteReference"/>
          <w:rFonts w:ascii="Garamond" w:hAnsi="Garamond"/>
          <w:sz w:val="24"/>
          <w:szCs w:val="24"/>
        </w:rPr>
        <w:footnoteReference w:id="22"/>
      </w:r>
    </w:p>
    <w:p w14:paraId="5CDF84BC" w14:textId="36D18F61" w:rsidR="00BB6485" w:rsidRPr="00FC4B3D" w:rsidRDefault="00BB6485" w:rsidP="00A17776">
      <w:pPr>
        <w:spacing w:line="360" w:lineRule="auto"/>
        <w:jc w:val="both"/>
        <w:rPr>
          <w:rFonts w:ascii="Garamond" w:hAnsi="Garamond"/>
          <w:sz w:val="24"/>
          <w:szCs w:val="24"/>
        </w:rPr>
      </w:pPr>
      <w:r w:rsidRPr="00FC4B3D">
        <w:rPr>
          <w:rFonts w:ascii="Garamond" w:hAnsi="Garamond"/>
          <w:sz w:val="24"/>
          <w:szCs w:val="24"/>
        </w:rPr>
        <w:t>Hence, if we possess perceptual justification and our belief is true, then we also have knowledge of ordinary empirical proposit</w:t>
      </w:r>
      <w:r w:rsidR="005604F6">
        <w:rPr>
          <w:rFonts w:ascii="Garamond" w:hAnsi="Garamond"/>
          <w:sz w:val="24"/>
          <w:szCs w:val="24"/>
        </w:rPr>
        <w:t>i</w:t>
      </w:r>
      <w:r w:rsidRPr="00FC4B3D">
        <w:rPr>
          <w:rFonts w:ascii="Garamond" w:hAnsi="Garamond"/>
          <w:sz w:val="24"/>
          <w:szCs w:val="24"/>
        </w:rPr>
        <w:t>ons.</w:t>
      </w:r>
    </w:p>
    <w:p w14:paraId="539058E3" w14:textId="0F136610" w:rsidR="001914F1" w:rsidRPr="00FC4B3D" w:rsidRDefault="00A17776" w:rsidP="00A17776">
      <w:pPr>
        <w:spacing w:line="360" w:lineRule="auto"/>
        <w:jc w:val="both"/>
        <w:rPr>
          <w:rFonts w:ascii="Garamond" w:hAnsi="Garamond"/>
          <w:sz w:val="24"/>
          <w:szCs w:val="24"/>
        </w:rPr>
      </w:pPr>
      <w:r w:rsidRPr="00FC4B3D">
        <w:rPr>
          <w:rFonts w:ascii="Garamond" w:hAnsi="Garamond"/>
          <w:sz w:val="24"/>
          <w:szCs w:val="24"/>
        </w:rPr>
        <w:t xml:space="preserve">Yet, </w:t>
      </w:r>
      <w:r w:rsidR="00765697" w:rsidRPr="00FC4B3D">
        <w:rPr>
          <w:rFonts w:ascii="Garamond" w:hAnsi="Garamond"/>
          <w:sz w:val="24"/>
          <w:szCs w:val="24"/>
        </w:rPr>
        <w:t>on my account</w:t>
      </w:r>
      <w:r w:rsidR="003C1C56" w:rsidRPr="00FC4B3D">
        <w:rPr>
          <w:rFonts w:ascii="Garamond" w:hAnsi="Garamond"/>
          <w:sz w:val="24"/>
          <w:szCs w:val="24"/>
        </w:rPr>
        <w:t>,</w:t>
      </w:r>
      <w:r w:rsidR="00765697" w:rsidRPr="00FC4B3D">
        <w:rPr>
          <w:rFonts w:ascii="Garamond" w:hAnsi="Garamond"/>
          <w:sz w:val="24"/>
          <w:szCs w:val="24"/>
        </w:rPr>
        <w:t xml:space="preserve"> </w:t>
      </w:r>
      <w:r w:rsidRPr="00FC4B3D">
        <w:rPr>
          <w:rFonts w:ascii="Garamond" w:hAnsi="Garamond"/>
          <w:sz w:val="24"/>
          <w:szCs w:val="24"/>
        </w:rPr>
        <w:t xml:space="preserve">we do not have Knowledge of hinges, since reasons for them would be circular. Hinges, rather, are assumed and are assumed rationally, albeit without any justification, because they themselves are constitutive of epistemic rationality. </w:t>
      </w:r>
      <w:r w:rsidR="00BB6485" w:rsidRPr="00FC4B3D">
        <w:rPr>
          <w:rFonts w:ascii="Garamond" w:hAnsi="Garamond"/>
          <w:sz w:val="24"/>
          <w:szCs w:val="24"/>
        </w:rPr>
        <w:t>Elsewhere,</w:t>
      </w:r>
      <w:r w:rsidR="00BB6485" w:rsidRPr="00FC4B3D">
        <w:rPr>
          <w:rStyle w:val="FootnoteReference"/>
          <w:rFonts w:ascii="Garamond" w:hAnsi="Garamond"/>
          <w:sz w:val="24"/>
          <w:szCs w:val="24"/>
        </w:rPr>
        <w:footnoteReference w:id="23"/>
      </w:r>
      <w:r w:rsidR="00BB6485" w:rsidRPr="00FC4B3D">
        <w:rPr>
          <w:rFonts w:ascii="Garamond" w:hAnsi="Garamond"/>
          <w:sz w:val="24"/>
          <w:szCs w:val="24"/>
        </w:rPr>
        <w:t xml:space="preserve"> I have developed the details of the argument. In short, just as the constitutive rules of a game are part of the game even if they are not moves within it, </w:t>
      </w:r>
      <w:r w:rsidR="002F4928" w:rsidRPr="00FC4B3D">
        <w:rPr>
          <w:rFonts w:ascii="Garamond" w:hAnsi="Garamond"/>
          <w:sz w:val="24"/>
          <w:szCs w:val="24"/>
        </w:rPr>
        <w:t xml:space="preserve">so hinges, while neither justified nor justifiable (and therefore knowable), are part of epistemic rationality because they make it possible to acquire justification and knowledge for ordinary empirical propositions, as well as to raise motivated doubts about them. </w:t>
      </w:r>
      <w:r w:rsidR="001914F1" w:rsidRPr="00FC4B3D">
        <w:rPr>
          <w:rFonts w:ascii="Garamond" w:hAnsi="Garamond"/>
          <w:sz w:val="24"/>
          <w:szCs w:val="24"/>
        </w:rPr>
        <w:t xml:space="preserve">Amongst hinges, besides “There is an external world” and “My sense organs work mostly reliably”, there are also anti-Cartesian ones such as “I am not a BIV”, or “I am not a victim of a lucid and sustained dream”. </w:t>
      </w:r>
      <w:r w:rsidR="002F4928" w:rsidRPr="00FC4B3D">
        <w:rPr>
          <w:rFonts w:ascii="Garamond" w:hAnsi="Garamond"/>
          <w:sz w:val="24"/>
          <w:szCs w:val="24"/>
        </w:rPr>
        <w:t>Since</w:t>
      </w:r>
      <w:r w:rsidR="002F4928" w:rsidRPr="00FC4B3D">
        <w:rPr>
          <w:rFonts w:ascii="Garamond" w:hAnsi="Garamond"/>
          <w:sz w:val="24"/>
          <w:szCs w:val="24"/>
        </w:rPr>
        <w:t xml:space="preserve"> </w:t>
      </w:r>
      <w:r w:rsidR="001914F1" w:rsidRPr="00FC4B3D">
        <w:rPr>
          <w:rFonts w:ascii="Garamond" w:hAnsi="Garamond"/>
          <w:sz w:val="24"/>
          <w:szCs w:val="24"/>
        </w:rPr>
        <w:t>the very possibility of any empirical inquiry hinges on – pun intended – taking for granted that we are acquiring information through our senses about our surroundings and that we are cognitively well-functioning</w:t>
      </w:r>
      <w:r w:rsidR="002F4928" w:rsidRPr="00FC4B3D">
        <w:rPr>
          <w:rFonts w:ascii="Garamond" w:hAnsi="Garamond"/>
          <w:sz w:val="24"/>
          <w:szCs w:val="24"/>
        </w:rPr>
        <w:t>, hinges are constitutive of epistemic rationality itself</w:t>
      </w:r>
      <w:r w:rsidR="001914F1" w:rsidRPr="00FC4B3D">
        <w:rPr>
          <w:rFonts w:ascii="Garamond" w:hAnsi="Garamond"/>
          <w:sz w:val="24"/>
          <w:szCs w:val="24"/>
        </w:rPr>
        <w:t>.</w:t>
      </w:r>
    </w:p>
    <w:p w14:paraId="7A2EEC15" w14:textId="292F2E7D" w:rsidR="002F4928" w:rsidRPr="00FC4B3D" w:rsidRDefault="002F4928" w:rsidP="00A17776">
      <w:pPr>
        <w:spacing w:line="360" w:lineRule="auto"/>
        <w:jc w:val="both"/>
        <w:rPr>
          <w:rFonts w:ascii="Garamond" w:hAnsi="Garamond"/>
          <w:sz w:val="24"/>
          <w:szCs w:val="24"/>
        </w:rPr>
      </w:pPr>
      <w:r w:rsidRPr="00FC4B3D">
        <w:rPr>
          <w:rFonts w:ascii="Garamond" w:hAnsi="Garamond"/>
          <w:sz w:val="24"/>
          <w:szCs w:val="24"/>
        </w:rPr>
        <w:tab/>
        <w:t xml:space="preserve">A note-worthy consequence of my position is that rational justification does not transmit across known entailment, when the conclusion of the argument is a hinge. For it is only by presupposing the conclusion that one can have a perceptual justification for the premise. Yet, since the premise can be justified and known while the conclusion, if it is a hinge, never is, this also entails that the Closure Principle does not hold unconditionally. That is, when the premise is something like “I have hands” and the conclusion is “There is an external world”, or “I am not a BIV”, one may have justification and knowledge </w:t>
      </w:r>
      <w:r w:rsidRPr="00FC4B3D">
        <w:rPr>
          <w:rFonts w:ascii="Garamond" w:hAnsi="Garamond"/>
          <w:sz w:val="24"/>
          <w:szCs w:val="24"/>
        </w:rPr>
        <w:lastRenderedPageBreak/>
        <w:t xml:space="preserve">of the former, and know that the premise entails the conclusion, and still have </w:t>
      </w:r>
      <w:r w:rsidR="0030653C" w:rsidRPr="00FC4B3D">
        <w:rPr>
          <w:rFonts w:ascii="Garamond" w:hAnsi="Garamond"/>
          <w:sz w:val="24"/>
          <w:szCs w:val="24"/>
        </w:rPr>
        <w:t xml:space="preserve">no </w:t>
      </w:r>
      <w:r w:rsidRPr="00FC4B3D">
        <w:rPr>
          <w:rFonts w:ascii="Garamond" w:hAnsi="Garamond"/>
          <w:sz w:val="24"/>
          <w:szCs w:val="24"/>
        </w:rPr>
        <w:t>justification or knowledge of it.</w:t>
      </w:r>
      <w:r w:rsidRPr="00FC4B3D">
        <w:rPr>
          <w:rStyle w:val="FootnoteReference"/>
          <w:rFonts w:ascii="Garamond" w:hAnsi="Garamond"/>
          <w:sz w:val="24"/>
          <w:szCs w:val="24"/>
        </w:rPr>
        <w:footnoteReference w:id="24"/>
      </w:r>
    </w:p>
    <w:p w14:paraId="63AED806" w14:textId="763F38E5" w:rsidR="00EE0FFE" w:rsidRPr="00FC4B3D" w:rsidRDefault="001914F1" w:rsidP="001914F1">
      <w:pPr>
        <w:spacing w:line="360" w:lineRule="auto"/>
        <w:ind w:firstLine="720"/>
        <w:jc w:val="both"/>
        <w:rPr>
          <w:rFonts w:ascii="Garamond" w:hAnsi="Garamond"/>
          <w:sz w:val="24"/>
          <w:szCs w:val="24"/>
        </w:rPr>
      </w:pPr>
      <w:r w:rsidRPr="00FC4B3D">
        <w:rPr>
          <w:rFonts w:ascii="Garamond" w:hAnsi="Garamond"/>
          <w:sz w:val="24"/>
          <w:szCs w:val="24"/>
        </w:rPr>
        <w:t xml:space="preserve">As is </w:t>
      </w:r>
      <w:r w:rsidR="001A3100" w:rsidRPr="00FC4B3D">
        <w:rPr>
          <w:rFonts w:ascii="Garamond" w:hAnsi="Garamond"/>
          <w:sz w:val="24"/>
          <w:szCs w:val="24"/>
        </w:rPr>
        <w:t>well known</w:t>
      </w:r>
      <w:r w:rsidRPr="00FC4B3D">
        <w:rPr>
          <w:rFonts w:ascii="Garamond" w:hAnsi="Garamond"/>
          <w:sz w:val="24"/>
          <w:szCs w:val="24"/>
        </w:rPr>
        <w:t>, DeRose has raised an objection against those who, like me, end up denying Closure. Namely</w:t>
      </w:r>
      <w:r w:rsidR="00A17776" w:rsidRPr="00FC4B3D">
        <w:rPr>
          <w:rFonts w:ascii="Garamond" w:hAnsi="Garamond"/>
          <w:sz w:val="24"/>
          <w:szCs w:val="24"/>
        </w:rPr>
        <w:t xml:space="preserve"> that if we don’t have Knowledge of hinges, </w:t>
      </w:r>
      <w:r w:rsidR="0058144C" w:rsidRPr="00FC4B3D">
        <w:rPr>
          <w:rFonts w:ascii="Garamond" w:hAnsi="Garamond"/>
          <w:sz w:val="24"/>
          <w:szCs w:val="24"/>
        </w:rPr>
        <w:t xml:space="preserve">while retaining </w:t>
      </w:r>
      <w:r w:rsidR="003C1C56" w:rsidRPr="00FC4B3D">
        <w:rPr>
          <w:rFonts w:ascii="Garamond" w:hAnsi="Garamond"/>
          <w:sz w:val="24"/>
          <w:szCs w:val="24"/>
        </w:rPr>
        <w:t>K</w:t>
      </w:r>
      <w:r w:rsidR="0058144C" w:rsidRPr="00FC4B3D">
        <w:rPr>
          <w:rFonts w:ascii="Garamond" w:hAnsi="Garamond"/>
          <w:sz w:val="24"/>
          <w:szCs w:val="24"/>
        </w:rPr>
        <w:t xml:space="preserve">nowledge of ordinary empirical propositions, </w:t>
      </w:r>
      <w:r w:rsidR="00A17776" w:rsidRPr="00FC4B3D">
        <w:rPr>
          <w:rFonts w:ascii="Garamond" w:hAnsi="Garamond"/>
          <w:sz w:val="24"/>
          <w:szCs w:val="24"/>
        </w:rPr>
        <w:t xml:space="preserve">we would have to condone abominable conjunctions such as “I Know there is a hand here, but I don’t Know I am not a BIV”. The </w:t>
      </w:r>
      <w:r w:rsidR="00A17776" w:rsidRPr="00FC4B3D">
        <w:rPr>
          <w:rFonts w:ascii="Garamond" w:hAnsi="Garamond"/>
          <w:i/>
          <w:sz w:val="24"/>
          <w:szCs w:val="24"/>
        </w:rPr>
        <w:t>prima facie</w:t>
      </w:r>
      <w:r w:rsidR="00A17776" w:rsidRPr="00FC4B3D">
        <w:rPr>
          <w:rFonts w:ascii="Garamond" w:hAnsi="Garamond"/>
          <w:sz w:val="24"/>
          <w:szCs w:val="24"/>
        </w:rPr>
        <w:t xml:space="preserve"> force of this objection is, in my view, due to a failure of appreciating the role that hinges such as “I am not a BIV” </w:t>
      </w:r>
      <w:proofErr w:type="gramStart"/>
      <w:r w:rsidR="00A17776" w:rsidRPr="00FC4B3D">
        <w:rPr>
          <w:rFonts w:ascii="Garamond" w:hAnsi="Garamond"/>
          <w:sz w:val="24"/>
          <w:szCs w:val="24"/>
        </w:rPr>
        <w:t>actually play</w:t>
      </w:r>
      <w:proofErr w:type="gramEnd"/>
      <w:r w:rsidR="00A17776" w:rsidRPr="00FC4B3D">
        <w:rPr>
          <w:rFonts w:ascii="Garamond" w:hAnsi="Garamond"/>
          <w:sz w:val="24"/>
          <w:szCs w:val="24"/>
        </w:rPr>
        <w:t xml:space="preserve"> in the practice of providing reasons for</w:t>
      </w:r>
      <w:r w:rsidR="0030653C" w:rsidRPr="00FC4B3D">
        <w:rPr>
          <w:rFonts w:ascii="Garamond" w:hAnsi="Garamond"/>
          <w:sz w:val="24"/>
          <w:szCs w:val="24"/>
        </w:rPr>
        <w:t>,</w:t>
      </w:r>
      <w:r w:rsidR="00A17776" w:rsidRPr="00FC4B3D">
        <w:rPr>
          <w:rFonts w:ascii="Garamond" w:hAnsi="Garamond"/>
          <w:sz w:val="24"/>
          <w:szCs w:val="24"/>
        </w:rPr>
        <w:t xml:space="preserve"> and Knowledge of ordinary empirical propositions. Surely, then, we do not Know them, yet they play a positive constitutive role with respe</w:t>
      </w:r>
      <w:r w:rsidR="0058144C" w:rsidRPr="00FC4B3D">
        <w:rPr>
          <w:rFonts w:ascii="Garamond" w:hAnsi="Garamond"/>
          <w:sz w:val="24"/>
          <w:szCs w:val="24"/>
        </w:rPr>
        <w:t>ct to epist</w:t>
      </w:r>
      <w:r w:rsidR="00166733" w:rsidRPr="00FC4B3D">
        <w:rPr>
          <w:rFonts w:ascii="Garamond" w:hAnsi="Garamond"/>
          <w:sz w:val="24"/>
          <w:szCs w:val="24"/>
        </w:rPr>
        <w:t>emic rationality</w:t>
      </w:r>
      <w:r w:rsidR="00A17776" w:rsidRPr="00FC4B3D">
        <w:rPr>
          <w:rFonts w:ascii="Garamond" w:hAnsi="Garamond"/>
          <w:sz w:val="24"/>
          <w:szCs w:val="24"/>
        </w:rPr>
        <w:t>.</w:t>
      </w:r>
      <w:r w:rsidR="0058144C" w:rsidRPr="00FC4B3D">
        <w:rPr>
          <w:rFonts w:ascii="Garamond" w:hAnsi="Garamond"/>
          <w:sz w:val="24"/>
          <w:szCs w:val="24"/>
        </w:rPr>
        <w:t xml:space="preserve"> As I have argued at length elsewhere, we do not </w:t>
      </w:r>
      <w:r w:rsidR="003C1C56" w:rsidRPr="00FC4B3D">
        <w:rPr>
          <w:rFonts w:ascii="Garamond" w:hAnsi="Garamond"/>
          <w:sz w:val="24"/>
          <w:szCs w:val="24"/>
        </w:rPr>
        <w:t>K</w:t>
      </w:r>
      <w:r w:rsidR="0058144C" w:rsidRPr="00FC4B3D">
        <w:rPr>
          <w:rFonts w:ascii="Garamond" w:hAnsi="Garamond"/>
          <w:sz w:val="24"/>
          <w:szCs w:val="24"/>
        </w:rPr>
        <w:t>now them but we (skeptics and non-skeptics alike) are mandated by epistemic rationality itself to accept them,</w:t>
      </w:r>
      <w:r w:rsidR="0058144C" w:rsidRPr="00FC4B3D">
        <w:rPr>
          <w:rStyle w:val="FootnoteReference"/>
          <w:rFonts w:ascii="Garamond" w:hAnsi="Garamond"/>
          <w:sz w:val="24"/>
          <w:szCs w:val="24"/>
        </w:rPr>
        <w:footnoteReference w:id="25"/>
      </w:r>
      <w:r w:rsidR="0058144C" w:rsidRPr="00FC4B3D">
        <w:rPr>
          <w:rFonts w:ascii="Garamond" w:hAnsi="Garamond"/>
          <w:sz w:val="24"/>
          <w:szCs w:val="24"/>
        </w:rPr>
        <w:t xml:space="preserve"> since they are constitutive of epistemic rationality itself. </w:t>
      </w:r>
      <w:proofErr w:type="gramStart"/>
      <w:r w:rsidR="00166733" w:rsidRPr="00FC4B3D">
        <w:rPr>
          <w:rFonts w:ascii="Garamond" w:hAnsi="Garamond"/>
          <w:sz w:val="24"/>
          <w:szCs w:val="24"/>
        </w:rPr>
        <w:t>Indeed</w:t>
      </w:r>
      <w:proofErr w:type="gramEnd"/>
      <w:r w:rsidR="00166733" w:rsidRPr="00FC4B3D">
        <w:rPr>
          <w:rFonts w:ascii="Garamond" w:hAnsi="Garamond"/>
          <w:sz w:val="24"/>
          <w:szCs w:val="24"/>
        </w:rPr>
        <w:t xml:space="preserve"> a skeptic’s mistake, in my view, depends on concluding that since they are not sustained by epistemic reasons, they fall outside the scope of epistemic rationality</w:t>
      </w:r>
      <w:r w:rsidR="00EE0FFE" w:rsidRPr="00FC4B3D">
        <w:rPr>
          <w:rFonts w:ascii="Garamond" w:hAnsi="Garamond"/>
          <w:sz w:val="24"/>
          <w:szCs w:val="24"/>
        </w:rPr>
        <w:t xml:space="preserve"> altogether</w:t>
      </w:r>
      <w:r w:rsidR="00166733" w:rsidRPr="00FC4B3D">
        <w:rPr>
          <w:rFonts w:ascii="Garamond" w:hAnsi="Garamond"/>
          <w:sz w:val="24"/>
          <w:szCs w:val="24"/>
        </w:rPr>
        <w:t xml:space="preserve">, when in fact they are within it since they are its constitutive </w:t>
      </w:r>
      <w:bookmarkStart w:id="0" w:name="_GoBack"/>
      <w:r w:rsidR="00166733" w:rsidRPr="00FC4B3D">
        <w:rPr>
          <w:rFonts w:ascii="Garamond" w:hAnsi="Garamond"/>
          <w:sz w:val="24"/>
          <w:szCs w:val="24"/>
        </w:rPr>
        <w:t>elements</w:t>
      </w:r>
      <w:bookmarkEnd w:id="0"/>
      <w:r w:rsidR="00166733" w:rsidRPr="00FC4B3D">
        <w:rPr>
          <w:rFonts w:ascii="Garamond" w:hAnsi="Garamond"/>
          <w:sz w:val="24"/>
          <w:szCs w:val="24"/>
        </w:rPr>
        <w:t>.</w:t>
      </w:r>
      <w:r w:rsidR="003C1C56" w:rsidRPr="00FC4B3D">
        <w:rPr>
          <w:rFonts w:ascii="Garamond" w:hAnsi="Garamond"/>
          <w:sz w:val="24"/>
          <w:szCs w:val="24"/>
        </w:rPr>
        <w:t xml:space="preserve"> </w:t>
      </w:r>
      <w:r w:rsidR="0030653C" w:rsidRPr="00FC4B3D">
        <w:rPr>
          <w:rFonts w:ascii="Garamond" w:hAnsi="Garamond"/>
          <w:sz w:val="24"/>
          <w:szCs w:val="24"/>
        </w:rPr>
        <w:t>To repeat, j</w:t>
      </w:r>
      <w:r w:rsidR="00B27204" w:rsidRPr="00FC4B3D">
        <w:rPr>
          <w:rFonts w:ascii="Garamond" w:hAnsi="Garamond"/>
          <w:sz w:val="24"/>
          <w:szCs w:val="24"/>
        </w:rPr>
        <w:t>ust as</w:t>
      </w:r>
      <w:r w:rsidR="00EE0FFE" w:rsidRPr="00FC4B3D">
        <w:rPr>
          <w:rFonts w:ascii="Garamond" w:hAnsi="Garamond"/>
          <w:sz w:val="24"/>
          <w:szCs w:val="24"/>
        </w:rPr>
        <w:t xml:space="preserve"> rules are part of a game, so th</w:t>
      </w:r>
      <w:r w:rsidR="00B27204" w:rsidRPr="00FC4B3D">
        <w:rPr>
          <w:rFonts w:ascii="Garamond" w:hAnsi="Garamond"/>
          <w:sz w:val="24"/>
          <w:szCs w:val="24"/>
        </w:rPr>
        <w:t>os</w:t>
      </w:r>
      <w:r w:rsidR="00EE0FFE" w:rsidRPr="00FC4B3D">
        <w:rPr>
          <w:rFonts w:ascii="Garamond" w:hAnsi="Garamond"/>
          <w:sz w:val="24"/>
          <w:szCs w:val="24"/>
        </w:rPr>
        <w:t>e hinges the assumption of which is constitutive of epistemic rationality are part of epistemic rationality itself.</w:t>
      </w:r>
      <w:r w:rsidR="005604F6" w:rsidRPr="00FC4B3D">
        <w:rPr>
          <w:rFonts w:ascii="Garamond" w:hAnsi="Garamond"/>
          <w:sz w:val="24"/>
          <w:szCs w:val="24"/>
        </w:rPr>
        <w:t xml:space="preserve"> Therefore, we are mandated </w:t>
      </w:r>
      <w:r w:rsidR="005604F6" w:rsidRPr="00FC4B3D">
        <w:rPr>
          <w:rFonts w:ascii="Garamond" w:hAnsi="Garamond"/>
          <w:sz w:val="24"/>
          <w:szCs w:val="24"/>
        </w:rPr>
        <w:t>to accept them</w:t>
      </w:r>
      <w:r w:rsidR="005604F6" w:rsidRPr="00FC4B3D">
        <w:rPr>
          <w:rFonts w:ascii="Garamond" w:hAnsi="Garamond"/>
          <w:sz w:val="24"/>
          <w:szCs w:val="24"/>
        </w:rPr>
        <w:t xml:space="preserve"> by epistemic rationality itself, and not just in virtue of pragmatic considerations.</w:t>
      </w:r>
      <w:r w:rsidR="00EE0FFE" w:rsidRPr="00FC4B3D">
        <w:rPr>
          <w:rFonts w:ascii="Garamond" w:hAnsi="Garamond"/>
          <w:sz w:val="24"/>
          <w:szCs w:val="24"/>
        </w:rPr>
        <w:t xml:space="preserve"> </w:t>
      </w:r>
      <w:r w:rsidR="0030653C" w:rsidRPr="00FC4B3D">
        <w:rPr>
          <w:rFonts w:ascii="Garamond" w:hAnsi="Garamond"/>
          <w:sz w:val="24"/>
          <w:szCs w:val="24"/>
        </w:rPr>
        <w:t>Hence, in my view, the skeptic’s mistake depends on holding on to</w:t>
      </w:r>
    </w:p>
    <w:p w14:paraId="5E120B6E" w14:textId="2A91CF7C" w:rsidR="0030653C" w:rsidRPr="00FC4B3D" w:rsidRDefault="0030653C" w:rsidP="00FC4B3D">
      <w:pPr>
        <w:spacing w:line="360" w:lineRule="auto"/>
        <w:ind w:left="720"/>
        <w:jc w:val="both"/>
        <w:rPr>
          <w:rFonts w:ascii="Garamond" w:hAnsi="Garamond"/>
          <w:sz w:val="24"/>
          <w:szCs w:val="24"/>
        </w:rPr>
      </w:pPr>
      <w:r w:rsidRPr="00FC4B3D">
        <w:rPr>
          <w:rFonts w:ascii="Garamond" w:hAnsi="Garamond"/>
          <w:color w:val="000000"/>
          <w:sz w:val="24"/>
          <w:szCs w:val="24"/>
        </w:rPr>
        <w:t xml:space="preserve">Epistemic </w:t>
      </w:r>
      <w:proofErr w:type="spellStart"/>
      <w:r w:rsidRPr="00FC4B3D">
        <w:rPr>
          <w:rFonts w:ascii="Garamond" w:hAnsi="Garamond"/>
          <w:color w:val="000000"/>
          <w:sz w:val="24"/>
          <w:szCs w:val="24"/>
        </w:rPr>
        <w:t>Rationality</w:t>
      </w:r>
      <w:r w:rsidR="005604F6">
        <w:rPr>
          <w:rFonts w:ascii="Garamond" w:hAnsi="Garamond"/>
          <w:color w:val="000000"/>
          <w:sz w:val="24"/>
          <w:szCs w:val="24"/>
          <w:vertAlign w:val="subscript"/>
        </w:rPr>
        <w:t>S</w:t>
      </w:r>
      <w:r w:rsidRPr="00FC4B3D">
        <w:rPr>
          <w:rFonts w:ascii="Garamond" w:hAnsi="Garamond"/>
          <w:color w:val="000000"/>
          <w:sz w:val="24"/>
          <w:szCs w:val="24"/>
          <w:vertAlign w:val="subscript"/>
        </w:rPr>
        <w:t>k</w:t>
      </w:r>
      <w:proofErr w:type="spellEnd"/>
      <w:r w:rsidRPr="00FC4B3D">
        <w:rPr>
          <w:rFonts w:ascii="Garamond" w:hAnsi="Garamond"/>
          <w:color w:val="000000"/>
          <w:sz w:val="24"/>
          <w:szCs w:val="24"/>
        </w:rPr>
        <w:t>: a proposition is epistemically rationally held if and only if there is a</w:t>
      </w:r>
      <w:r w:rsidRPr="00FC4B3D">
        <w:rPr>
          <w:rFonts w:ascii="Garamond" w:hAnsi="Garamond"/>
          <w:color w:val="000000"/>
          <w:sz w:val="24"/>
          <w:szCs w:val="24"/>
        </w:rPr>
        <w:t>n</w:t>
      </w:r>
      <w:r w:rsidRPr="00FC4B3D">
        <w:rPr>
          <w:rFonts w:ascii="Garamond" w:hAnsi="Garamond"/>
          <w:color w:val="000000"/>
          <w:sz w:val="24"/>
          <w:szCs w:val="24"/>
        </w:rPr>
        <w:t xml:space="preserve"> evidential justification for it.</w:t>
      </w:r>
    </w:p>
    <w:p w14:paraId="21FE1790" w14:textId="7A4965B9" w:rsidR="0030653C" w:rsidRPr="00FC4B3D" w:rsidRDefault="0030653C" w:rsidP="0030653C">
      <w:pPr>
        <w:spacing w:line="360" w:lineRule="auto"/>
        <w:jc w:val="both"/>
        <w:rPr>
          <w:rFonts w:ascii="Garamond" w:hAnsi="Garamond"/>
          <w:sz w:val="24"/>
          <w:szCs w:val="24"/>
        </w:rPr>
      </w:pPr>
      <w:r w:rsidRPr="00FC4B3D">
        <w:rPr>
          <w:rFonts w:ascii="Garamond" w:hAnsi="Garamond"/>
          <w:sz w:val="24"/>
          <w:szCs w:val="24"/>
        </w:rPr>
        <w:t>Instead of embracing the correct, extended characterization of epistemic rationality. Namely,</w:t>
      </w:r>
    </w:p>
    <w:p w14:paraId="6CD06D7B" w14:textId="533BBCF7" w:rsidR="0030653C" w:rsidRPr="00FC4B3D" w:rsidRDefault="0030653C" w:rsidP="00FC4B3D">
      <w:pPr>
        <w:spacing w:line="360" w:lineRule="auto"/>
        <w:ind w:left="720"/>
        <w:jc w:val="both"/>
        <w:rPr>
          <w:rFonts w:ascii="Garamond" w:hAnsi="Garamond"/>
          <w:sz w:val="24"/>
          <w:szCs w:val="24"/>
        </w:rPr>
      </w:pPr>
      <w:r w:rsidRPr="00FC4B3D">
        <w:rPr>
          <w:rFonts w:ascii="Garamond" w:hAnsi="Garamond"/>
          <w:color w:val="000000"/>
          <w:sz w:val="24"/>
          <w:szCs w:val="24"/>
        </w:rPr>
        <w:t xml:space="preserve">Epistemic </w:t>
      </w:r>
      <w:proofErr w:type="spellStart"/>
      <w:r w:rsidRPr="00FC4B3D">
        <w:rPr>
          <w:rFonts w:ascii="Garamond" w:hAnsi="Garamond"/>
          <w:color w:val="000000"/>
          <w:sz w:val="24"/>
          <w:szCs w:val="24"/>
        </w:rPr>
        <w:t>Rationality</w:t>
      </w:r>
      <w:r w:rsidRPr="00FC4B3D">
        <w:rPr>
          <w:rFonts w:ascii="Garamond" w:hAnsi="Garamond"/>
          <w:color w:val="000000"/>
          <w:sz w:val="24"/>
          <w:szCs w:val="24"/>
          <w:vertAlign w:val="subscript"/>
        </w:rPr>
        <w:t>Ext</w:t>
      </w:r>
      <w:proofErr w:type="spellEnd"/>
      <w:r w:rsidRPr="00FC4B3D">
        <w:rPr>
          <w:rFonts w:ascii="Garamond" w:hAnsi="Garamond"/>
          <w:color w:val="000000"/>
          <w:sz w:val="24"/>
          <w:szCs w:val="24"/>
        </w:rPr>
        <w:t>: a proposition is epistemically rationally held if and only if either there is a</w:t>
      </w:r>
      <w:r w:rsidRPr="00FC4B3D">
        <w:rPr>
          <w:rFonts w:ascii="Garamond" w:hAnsi="Garamond"/>
          <w:color w:val="000000"/>
          <w:sz w:val="24"/>
          <w:szCs w:val="24"/>
        </w:rPr>
        <w:t xml:space="preserve">n </w:t>
      </w:r>
      <w:r w:rsidRPr="00FC4B3D">
        <w:rPr>
          <w:rFonts w:ascii="Garamond" w:hAnsi="Garamond"/>
          <w:color w:val="000000"/>
          <w:sz w:val="24"/>
          <w:szCs w:val="24"/>
        </w:rPr>
        <w:t xml:space="preserve">evidential justification for it, or, while being unjustifiable, it </w:t>
      </w:r>
      <w:r w:rsidRPr="00FC4B3D">
        <w:rPr>
          <w:rFonts w:ascii="Garamond" w:hAnsi="Garamond"/>
          <w:color w:val="000000"/>
          <w:sz w:val="24"/>
          <w:szCs w:val="24"/>
        </w:rPr>
        <w:t>needs to be assumed</w:t>
      </w:r>
      <w:r w:rsidRPr="00FC4B3D">
        <w:rPr>
          <w:rFonts w:ascii="Garamond" w:hAnsi="Garamond"/>
          <w:color w:val="000000"/>
          <w:sz w:val="24"/>
          <w:szCs w:val="24"/>
        </w:rPr>
        <w:t xml:space="preserve"> in order to have epistemic justifications.</w:t>
      </w:r>
    </w:p>
    <w:p w14:paraId="0AA512DC" w14:textId="77777777" w:rsidR="0030653C" w:rsidRPr="00FC4B3D" w:rsidRDefault="0030653C" w:rsidP="00FC4B3D">
      <w:pPr>
        <w:spacing w:line="360" w:lineRule="auto"/>
        <w:jc w:val="both"/>
        <w:rPr>
          <w:rFonts w:ascii="Garamond" w:hAnsi="Garamond"/>
          <w:sz w:val="24"/>
          <w:szCs w:val="24"/>
        </w:rPr>
      </w:pPr>
    </w:p>
    <w:p w14:paraId="45A25D09" w14:textId="20765315" w:rsidR="00A17776" w:rsidRDefault="00EE0FFE" w:rsidP="00B27204">
      <w:pPr>
        <w:spacing w:line="360" w:lineRule="auto"/>
        <w:ind w:firstLine="720"/>
        <w:jc w:val="both"/>
        <w:rPr>
          <w:rFonts w:ascii="Garamond" w:hAnsi="Garamond"/>
          <w:sz w:val="24"/>
          <w:szCs w:val="24"/>
        </w:rPr>
      </w:pPr>
      <w:r w:rsidRPr="00FC4B3D">
        <w:rPr>
          <w:rFonts w:ascii="Garamond" w:hAnsi="Garamond"/>
          <w:sz w:val="24"/>
          <w:szCs w:val="24"/>
        </w:rPr>
        <w:lastRenderedPageBreak/>
        <w:t>Now, a</w:t>
      </w:r>
      <w:r w:rsidR="003C1C56" w:rsidRPr="00FC4B3D">
        <w:rPr>
          <w:rFonts w:ascii="Garamond" w:hAnsi="Garamond"/>
          <w:sz w:val="24"/>
          <w:szCs w:val="24"/>
        </w:rPr>
        <w:t xml:space="preserve">s Harman and Sherman (2011) notice, </w:t>
      </w:r>
      <w:r w:rsidR="003C1C56" w:rsidRPr="00FC4B3D">
        <w:rPr>
          <w:rFonts w:ascii="Garamond" w:hAnsi="Garamond"/>
          <w:i/>
          <w:sz w:val="24"/>
          <w:szCs w:val="24"/>
        </w:rPr>
        <w:t>prima facie</w:t>
      </w:r>
      <w:r w:rsidR="003C1C56" w:rsidRPr="00FC4B3D">
        <w:rPr>
          <w:rFonts w:ascii="Garamond" w:hAnsi="Garamond"/>
          <w:sz w:val="24"/>
          <w:szCs w:val="24"/>
        </w:rPr>
        <w:t xml:space="preserve"> abominable conjunctions can always be produced when one is dealing with neighboring notions, which only philosophical analysis can tease apart.</w:t>
      </w:r>
      <w:r w:rsidRPr="00FC4B3D">
        <w:rPr>
          <w:rFonts w:ascii="Garamond" w:hAnsi="Garamond"/>
          <w:sz w:val="24"/>
          <w:szCs w:val="24"/>
        </w:rPr>
        <w:t xml:space="preserve"> The neighboring notions here at play are belief and assumption</w:t>
      </w:r>
      <w:r w:rsidR="00B27204" w:rsidRPr="00FC4B3D">
        <w:rPr>
          <w:rFonts w:ascii="Garamond" w:hAnsi="Garamond"/>
          <w:sz w:val="24"/>
          <w:szCs w:val="24"/>
        </w:rPr>
        <w:t>, on the one hand,</w:t>
      </w:r>
      <w:r w:rsidRPr="00FC4B3D">
        <w:rPr>
          <w:rFonts w:ascii="Garamond" w:hAnsi="Garamond"/>
          <w:sz w:val="24"/>
          <w:szCs w:val="24"/>
        </w:rPr>
        <w:t xml:space="preserve"> </w:t>
      </w:r>
      <w:r w:rsidR="00B27204" w:rsidRPr="00FC4B3D">
        <w:rPr>
          <w:rFonts w:ascii="Garamond" w:hAnsi="Garamond"/>
          <w:sz w:val="24"/>
          <w:szCs w:val="24"/>
        </w:rPr>
        <w:t xml:space="preserve">and being justified (which I take to be a necessary condition for Knowledge) and being rationally mandated, on the other. </w:t>
      </w:r>
      <w:r w:rsidR="007D5925" w:rsidRPr="00FC4B3D">
        <w:rPr>
          <w:rFonts w:ascii="Garamond" w:hAnsi="Garamond"/>
          <w:sz w:val="24"/>
          <w:szCs w:val="24"/>
        </w:rPr>
        <w:t>Thus, a</w:t>
      </w:r>
      <w:r w:rsidR="00A17776" w:rsidRPr="00FC4B3D">
        <w:rPr>
          <w:rFonts w:ascii="Garamond" w:hAnsi="Garamond"/>
          <w:sz w:val="24"/>
          <w:szCs w:val="24"/>
        </w:rPr>
        <w:t xml:space="preserve">rmed with </w:t>
      </w:r>
      <w:r w:rsidR="00166733" w:rsidRPr="00FC4B3D">
        <w:rPr>
          <w:rFonts w:ascii="Garamond" w:hAnsi="Garamond"/>
          <w:sz w:val="24"/>
          <w:szCs w:val="24"/>
        </w:rPr>
        <w:t>such an</w:t>
      </w:r>
      <w:r w:rsidR="00A17776" w:rsidRPr="00FC4B3D">
        <w:rPr>
          <w:rFonts w:ascii="Garamond" w:hAnsi="Garamond"/>
          <w:sz w:val="24"/>
          <w:szCs w:val="24"/>
        </w:rPr>
        <w:t xml:space="preserve"> analysis, we can then counter the objection with the following, non-abominable conjunction “I Know I have a hand, and although I don’t Know I am not a BIV, I am rationally mandated to assume that I am not”.</w:t>
      </w:r>
    </w:p>
    <w:p w14:paraId="765E141C" w14:textId="2282656D" w:rsidR="005604F6" w:rsidRPr="00FC4B3D" w:rsidRDefault="005604F6" w:rsidP="00B27204">
      <w:pPr>
        <w:spacing w:line="360" w:lineRule="auto"/>
        <w:ind w:firstLine="720"/>
        <w:jc w:val="both"/>
        <w:rPr>
          <w:rFonts w:ascii="Garamond" w:hAnsi="Garamond"/>
          <w:sz w:val="24"/>
          <w:szCs w:val="24"/>
        </w:rPr>
      </w:pPr>
      <w:r>
        <w:rPr>
          <w:rFonts w:ascii="Garamond" w:hAnsi="Garamond"/>
          <w:sz w:val="24"/>
          <w:szCs w:val="24"/>
        </w:rPr>
        <w:t xml:space="preserve">Thus, according to my own version of hinge epistemology, one can retain </w:t>
      </w:r>
      <w:proofErr w:type="spellStart"/>
      <w:r>
        <w:rPr>
          <w:rFonts w:ascii="Garamond" w:hAnsi="Garamond"/>
          <w:sz w:val="24"/>
          <w:szCs w:val="24"/>
        </w:rPr>
        <w:t>invariantism</w:t>
      </w:r>
      <w:proofErr w:type="spellEnd"/>
      <w:r>
        <w:rPr>
          <w:rFonts w:ascii="Garamond" w:hAnsi="Garamond"/>
          <w:sz w:val="24"/>
          <w:szCs w:val="24"/>
        </w:rPr>
        <w:t xml:space="preserve"> about Knowledge, as well as Knowledge of ordinary empirical propositions, without having to embrace infallibilism. B</w:t>
      </w:r>
      <w:r>
        <w:rPr>
          <w:rFonts w:ascii="Garamond" w:hAnsi="Garamond"/>
          <w:sz w:val="24"/>
          <w:szCs w:val="24"/>
        </w:rPr>
        <w:t xml:space="preserve">y going </w:t>
      </w:r>
      <w:proofErr w:type="spellStart"/>
      <w:r>
        <w:rPr>
          <w:rFonts w:ascii="Garamond" w:hAnsi="Garamond"/>
          <w:sz w:val="24"/>
          <w:szCs w:val="24"/>
        </w:rPr>
        <w:t>constitutivist</w:t>
      </w:r>
      <w:proofErr w:type="spellEnd"/>
      <w:r>
        <w:rPr>
          <w:rFonts w:ascii="Garamond" w:hAnsi="Garamond"/>
          <w:sz w:val="24"/>
          <w:szCs w:val="24"/>
        </w:rPr>
        <w:t xml:space="preserve"> about hinges, one will not </w:t>
      </w:r>
      <w:proofErr w:type="spellStart"/>
      <w:r>
        <w:rPr>
          <w:rFonts w:ascii="Garamond" w:hAnsi="Garamond"/>
          <w:sz w:val="24"/>
          <w:szCs w:val="24"/>
        </w:rPr>
        <w:t>be ma</w:t>
      </w:r>
      <w:proofErr w:type="spellEnd"/>
      <w:r>
        <w:rPr>
          <w:rFonts w:ascii="Garamond" w:hAnsi="Garamond"/>
          <w:sz w:val="24"/>
          <w:szCs w:val="24"/>
        </w:rPr>
        <w:t>king them the object of Knowledge. Yet, such a “skeptical” solution is in fact also a powerful “undercutting” solution to skepticism. For, ultimately, it shows that the skeptical paradox, in either of its forms, rests on a narrow and mistaken account of epistemic rationality.</w:t>
      </w:r>
    </w:p>
    <w:p w14:paraId="00D7E99B" w14:textId="77777777" w:rsidR="00E635B4" w:rsidRPr="00FC4B3D" w:rsidRDefault="00E635B4" w:rsidP="00591AAB">
      <w:pPr>
        <w:spacing w:line="360" w:lineRule="auto"/>
        <w:jc w:val="both"/>
        <w:rPr>
          <w:rFonts w:ascii="Garamond" w:hAnsi="Garamond"/>
          <w:sz w:val="24"/>
          <w:szCs w:val="24"/>
        </w:rPr>
      </w:pPr>
    </w:p>
    <w:p w14:paraId="76298FC9" w14:textId="77777777" w:rsidR="00EC2081" w:rsidRPr="00FC4B3D" w:rsidRDefault="00EC2081" w:rsidP="00591AAB">
      <w:pPr>
        <w:spacing w:line="360" w:lineRule="auto"/>
        <w:jc w:val="both"/>
        <w:rPr>
          <w:rFonts w:ascii="Garamond" w:hAnsi="Garamond"/>
          <w:b/>
          <w:sz w:val="24"/>
          <w:szCs w:val="24"/>
        </w:rPr>
      </w:pPr>
      <w:r w:rsidRPr="00FC4B3D">
        <w:rPr>
          <w:rFonts w:ascii="Garamond" w:hAnsi="Garamond"/>
          <w:b/>
          <w:sz w:val="24"/>
          <w:szCs w:val="24"/>
        </w:rPr>
        <w:t>References</w:t>
      </w:r>
    </w:p>
    <w:p w14:paraId="337DFFDE" w14:textId="77777777" w:rsidR="00EC2081" w:rsidRPr="00FC4B3D" w:rsidRDefault="00EC2081" w:rsidP="00591AAB">
      <w:pPr>
        <w:spacing w:after="0" w:line="360" w:lineRule="auto"/>
        <w:jc w:val="both"/>
        <w:rPr>
          <w:rFonts w:ascii="Garamond" w:hAnsi="Garamond"/>
          <w:sz w:val="24"/>
          <w:szCs w:val="24"/>
        </w:rPr>
      </w:pPr>
      <w:proofErr w:type="spellStart"/>
      <w:r w:rsidRPr="00FC4B3D">
        <w:rPr>
          <w:rFonts w:ascii="Garamond" w:hAnsi="Garamond"/>
          <w:sz w:val="24"/>
          <w:szCs w:val="24"/>
        </w:rPr>
        <w:t>Coliva</w:t>
      </w:r>
      <w:proofErr w:type="spellEnd"/>
      <w:r w:rsidRPr="00FC4B3D">
        <w:rPr>
          <w:rFonts w:ascii="Garamond" w:hAnsi="Garamond"/>
          <w:sz w:val="24"/>
          <w:szCs w:val="24"/>
        </w:rPr>
        <w:t xml:space="preserve">, A. 2010 </w:t>
      </w:r>
      <w:r w:rsidRPr="00FC4B3D">
        <w:rPr>
          <w:rFonts w:ascii="Garamond" w:hAnsi="Garamond"/>
          <w:i/>
          <w:sz w:val="24"/>
          <w:szCs w:val="24"/>
        </w:rPr>
        <w:t xml:space="preserve">Moore and Wittgenstein. </w:t>
      </w:r>
      <w:proofErr w:type="spellStart"/>
      <w:r w:rsidRPr="00FC4B3D">
        <w:rPr>
          <w:rFonts w:ascii="Garamond" w:hAnsi="Garamond"/>
          <w:i/>
          <w:sz w:val="24"/>
          <w:szCs w:val="24"/>
        </w:rPr>
        <w:t>Scepticism</w:t>
      </w:r>
      <w:proofErr w:type="spellEnd"/>
      <w:r w:rsidRPr="00FC4B3D">
        <w:rPr>
          <w:rFonts w:ascii="Garamond" w:hAnsi="Garamond"/>
          <w:i/>
          <w:sz w:val="24"/>
          <w:szCs w:val="24"/>
        </w:rPr>
        <w:t>, Certainty and Common Sense</w:t>
      </w:r>
      <w:r w:rsidRPr="00FC4B3D">
        <w:rPr>
          <w:rFonts w:ascii="Garamond" w:hAnsi="Garamond"/>
          <w:sz w:val="24"/>
          <w:szCs w:val="24"/>
        </w:rPr>
        <w:t>, London, Palgrave.</w:t>
      </w:r>
    </w:p>
    <w:p w14:paraId="03CDB19B" w14:textId="77777777" w:rsidR="00EC2081" w:rsidRPr="00FC4B3D" w:rsidRDefault="00EC2081" w:rsidP="00591AAB">
      <w:pPr>
        <w:pStyle w:val="FootnoteText"/>
        <w:spacing w:line="360" w:lineRule="auto"/>
        <w:jc w:val="both"/>
        <w:rPr>
          <w:rFonts w:ascii="Garamond" w:eastAsia="Times New Roman" w:hAnsi="Garamond" w:cs="Times New Roman"/>
          <w:color w:val="000000"/>
          <w:sz w:val="24"/>
          <w:szCs w:val="24"/>
          <w:lang w:val="en-US" w:eastAsia="it-IT"/>
        </w:rPr>
      </w:pPr>
      <w:proofErr w:type="spellStart"/>
      <w:r w:rsidRPr="00FC4B3D">
        <w:rPr>
          <w:rFonts w:ascii="Garamond" w:eastAsia="Times New Roman" w:hAnsi="Garamond" w:cs="Times New Roman"/>
          <w:color w:val="000000"/>
          <w:sz w:val="24"/>
          <w:szCs w:val="24"/>
          <w:lang w:val="en-US" w:eastAsia="it-IT"/>
        </w:rPr>
        <w:t>Coliva</w:t>
      </w:r>
      <w:proofErr w:type="spellEnd"/>
      <w:r w:rsidRPr="00FC4B3D">
        <w:rPr>
          <w:rFonts w:ascii="Garamond" w:eastAsia="Times New Roman" w:hAnsi="Garamond" w:cs="Times New Roman"/>
          <w:color w:val="000000"/>
          <w:sz w:val="24"/>
          <w:szCs w:val="24"/>
          <w:lang w:val="en-US" w:eastAsia="it-IT"/>
        </w:rPr>
        <w:t xml:space="preserve">, A. 2015 </w:t>
      </w:r>
      <w:r w:rsidRPr="00FC4B3D">
        <w:rPr>
          <w:rFonts w:ascii="Garamond" w:eastAsia="Times New Roman" w:hAnsi="Garamond" w:cs="Times New Roman"/>
          <w:i/>
          <w:color w:val="000000"/>
          <w:sz w:val="24"/>
          <w:szCs w:val="24"/>
          <w:lang w:val="en-US" w:eastAsia="it-IT"/>
        </w:rPr>
        <w:t>Extended Rationality. A Hinge Epistemology</w:t>
      </w:r>
      <w:r w:rsidRPr="00FC4B3D">
        <w:rPr>
          <w:rFonts w:ascii="Garamond" w:eastAsia="Times New Roman" w:hAnsi="Garamond" w:cs="Times New Roman"/>
          <w:color w:val="000000"/>
          <w:sz w:val="24"/>
          <w:szCs w:val="24"/>
          <w:lang w:val="en-US" w:eastAsia="it-IT"/>
        </w:rPr>
        <w:t>, London, Palgrave.</w:t>
      </w:r>
    </w:p>
    <w:p w14:paraId="05234581" w14:textId="77777777" w:rsidR="00EC2081" w:rsidRPr="00FC4B3D" w:rsidRDefault="00EC2081" w:rsidP="00591AAB">
      <w:pPr>
        <w:spacing w:after="0" w:line="360" w:lineRule="auto"/>
        <w:jc w:val="both"/>
        <w:rPr>
          <w:rFonts w:ascii="Garamond" w:hAnsi="Garamond"/>
          <w:sz w:val="24"/>
          <w:szCs w:val="24"/>
        </w:rPr>
      </w:pPr>
      <w:proofErr w:type="spellStart"/>
      <w:r w:rsidRPr="00FC4B3D">
        <w:rPr>
          <w:rFonts w:ascii="Garamond" w:hAnsi="Garamond"/>
          <w:sz w:val="24"/>
          <w:szCs w:val="24"/>
        </w:rPr>
        <w:t>Coliva</w:t>
      </w:r>
      <w:proofErr w:type="spellEnd"/>
      <w:r w:rsidRPr="00FC4B3D">
        <w:rPr>
          <w:rFonts w:ascii="Garamond" w:hAnsi="Garamond"/>
          <w:sz w:val="24"/>
          <w:szCs w:val="24"/>
        </w:rPr>
        <w:t>, A. 2018</w:t>
      </w:r>
      <w:r w:rsidR="007D5925" w:rsidRPr="00FC4B3D">
        <w:rPr>
          <w:rFonts w:ascii="Garamond" w:hAnsi="Garamond"/>
          <w:sz w:val="24"/>
          <w:szCs w:val="24"/>
        </w:rPr>
        <w:t>a</w:t>
      </w:r>
      <w:r w:rsidRPr="00FC4B3D">
        <w:rPr>
          <w:rFonts w:ascii="Garamond" w:hAnsi="Garamond"/>
          <w:sz w:val="24"/>
          <w:szCs w:val="24"/>
        </w:rPr>
        <w:t xml:space="preserve"> “What anti-realism about hinges could possibly be”, in C. Kyriacou and R. McKenna (eds.) </w:t>
      </w:r>
      <w:proofErr w:type="spellStart"/>
      <w:r w:rsidRPr="00FC4B3D">
        <w:rPr>
          <w:rFonts w:ascii="Garamond" w:hAnsi="Garamond"/>
          <w:i/>
          <w:sz w:val="24"/>
          <w:szCs w:val="24"/>
        </w:rPr>
        <w:t>Metaepistemology</w:t>
      </w:r>
      <w:proofErr w:type="spellEnd"/>
      <w:r w:rsidRPr="00FC4B3D">
        <w:rPr>
          <w:rFonts w:ascii="Garamond" w:hAnsi="Garamond"/>
          <w:i/>
          <w:sz w:val="24"/>
          <w:szCs w:val="24"/>
        </w:rPr>
        <w:t>. Realism and Anti-Realism</w:t>
      </w:r>
      <w:r w:rsidRPr="00FC4B3D">
        <w:rPr>
          <w:rFonts w:ascii="Garamond" w:hAnsi="Garamond"/>
          <w:sz w:val="24"/>
          <w:szCs w:val="24"/>
        </w:rPr>
        <w:t>, London, Palgrave Macmillan, pp. 267-288.</w:t>
      </w:r>
    </w:p>
    <w:p w14:paraId="352E1033" w14:textId="77777777" w:rsidR="00EC2081" w:rsidRPr="00FC4B3D" w:rsidRDefault="00EC2081" w:rsidP="00591AAB">
      <w:pPr>
        <w:spacing w:after="0" w:line="360" w:lineRule="auto"/>
        <w:jc w:val="both"/>
        <w:rPr>
          <w:rFonts w:ascii="Garamond" w:hAnsi="Garamond"/>
          <w:sz w:val="24"/>
          <w:szCs w:val="24"/>
        </w:rPr>
      </w:pPr>
      <w:proofErr w:type="spellStart"/>
      <w:r w:rsidRPr="00FC4B3D">
        <w:rPr>
          <w:rFonts w:ascii="Garamond" w:hAnsi="Garamond"/>
          <w:sz w:val="24"/>
          <w:szCs w:val="24"/>
        </w:rPr>
        <w:t>Coliva</w:t>
      </w:r>
      <w:proofErr w:type="spellEnd"/>
      <w:r w:rsidRPr="00FC4B3D">
        <w:rPr>
          <w:rFonts w:ascii="Garamond" w:hAnsi="Garamond"/>
          <w:sz w:val="24"/>
          <w:szCs w:val="24"/>
        </w:rPr>
        <w:t>, A</w:t>
      </w:r>
      <w:r w:rsidR="007D5925" w:rsidRPr="00FC4B3D">
        <w:rPr>
          <w:rFonts w:ascii="Garamond" w:hAnsi="Garamond"/>
          <w:sz w:val="24"/>
          <w:szCs w:val="24"/>
        </w:rPr>
        <w:t>. 2018b</w:t>
      </w:r>
      <w:r w:rsidRPr="00FC4B3D">
        <w:rPr>
          <w:rFonts w:ascii="Garamond" w:hAnsi="Garamond"/>
          <w:sz w:val="24"/>
          <w:szCs w:val="24"/>
        </w:rPr>
        <w:t xml:space="preserve"> “Strange bedfellows. On Pritchard’s </w:t>
      </w:r>
      <w:proofErr w:type="spellStart"/>
      <w:r w:rsidRPr="00FC4B3D">
        <w:rPr>
          <w:rFonts w:ascii="Garamond" w:hAnsi="Garamond"/>
          <w:sz w:val="24"/>
          <w:szCs w:val="24"/>
        </w:rPr>
        <w:t>disjunctivist</w:t>
      </w:r>
      <w:proofErr w:type="spellEnd"/>
      <w:r w:rsidRPr="00FC4B3D">
        <w:rPr>
          <w:rFonts w:ascii="Garamond" w:hAnsi="Garamond"/>
          <w:sz w:val="24"/>
          <w:szCs w:val="24"/>
        </w:rPr>
        <w:t xml:space="preserve"> hinge epistemology”, </w:t>
      </w:r>
      <w:proofErr w:type="spellStart"/>
      <w:r w:rsidRPr="00FC4B3D">
        <w:rPr>
          <w:rFonts w:ascii="Garamond" w:hAnsi="Garamond"/>
          <w:i/>
          <w:sz w:val="24"/>
          <w:szCs w:val="24"/>
        </w:rPr>
        <w:t>Synthese</w:t>
      </w:r>
      <w:proofErr w:type="spellEnd"/>
      <w:r w:rsidRPr="00FC4B3D">
        <w:rPr>
          <w:rFonts w:ascii="Garamond" w:hAnsi="Garamond"/>
          <w:sz w:val="24"/>
          <w:szCs w:val="24"/>
        </w:rPr>
        <w:t xml:space="preserve">, </w:t>
      </w:r>
      <w:hyperlink r:id="rId8" w:history="1">
        <w:r w:rsidR="00293A94" w:rsidRPr="00FC4B3D">
          <w:rPr>
            <w:rStyle w:val="Hyperlink"/>
            <w:rFonts w:ascii="Garamond" w:hAnsi="Garamond" w:cs="Segoe UI"/>
            <w:sz w:val="24"/>
            <w:szCs w:val="24"/>
            <w:shd w:val="clear" w:color="auto" w:fill="FCFCFC"/>
          </w:rPr>
          <w:t>https://doi.org/10.1007/s11229-018-02046-z</w:t>
        </w:r>
      </w:hyperlink>
      <w:r w:rsidRPr="00FC4B3D">
        <w:rPr>
          <w:rFonts w:ascii="Garamond" w:hAnsi="Garamond"/>
          <w:sz w:val="24"/>
          <w:szCs w:val="24"/>
        </w:rPr>
        <w:t>.</w:t>
      </w:r>
    </w:p>
    <w:p w14:paraId="4330400E" w14:textId="77777777" w:rsidR="00293A94" w:rsidRPr="00FC4B3D" w:rsidRDefault="00293A94" w:rsidP="00591AAB">
      <w:pPr>
        <w:spacing w:after="0" w:line="360" w:lineRule="auto"/>
        <w:jc w:val="both"/>
        <w:rPr>
          <w:rFonts w:ascii="Garamond" w:hAnsi="Garamond"/>
          <w:sz w:val="24"/>
          <w:szCs w:val="24"/>
        </w:rPr>
      </w:pPr>
      <w:proofErr w:type="spellStart"/>
      <w:r w:rsidRPr="00FC4B3D">
        <w:rPr>
          <w:rFonts w:ascii="Garamond" w:hAnsi="Garamond"/>
          <w:sz w:val="24"/>
          <w:szCs w:val="24"/>
        </w:rPr>
        <w:t>Coliva</w:t>
      </w:r>
      <w:proofErr w:type="spellEnd"/>
      <w:r w:rsidRPr="00FC4B3D">
        <w:rPr>
          <w:rFonts w:ascii="Garamond" w:hAnsi="Garamond"/>
          <w:sz w:val="24"/>
          <w:szCs w:val="24"/>
        </w:rPr>
        <w:t xml:space="preserve">, A. 2019 “In quest of a </w:t>
      </w:r>
      <w:proofErr w:type="spellStart"/>
      <w:r w:rsidRPr="00FC4B3D">
        <w:rPr>
          <w:rFonts w:ascii="Garamond" w:hAnsi="Garamond"/>
          <w:sz w:val="24"/>
          <w:szCs w:val="24"/>
        </w:rPr>
        <w:t>Wittgensteinian</w:t>
      </w:r>
      <w:proofErr w:type="spellEnd"/>
      <w:r w:rsidRPr="00FC4B3D">
        <w:rPr>
          <w:rFonts w:ascii="Garamond" w:hAnsi="Garamond"/>
          <w:sz w:val="24"/>
          <w:szCs w:val="24"/>
        </w:rPr>
        <w:t xml:space="preserve"> hinge epistemology”, in </w:t>
      </w:r>
      <w:r w:rsidRPr="00FC4B3D">
        <w:rPr>
          <w:rFonts w:ascii="Garamond" w:hAnsi="Garamond"/>
          <w:sz w:val="24"/>
          <w:szCs w:val="24"/>
          <w:shd w:val="clear" w:color="auto" w:fill="FFFFFF"/>
        </w:rPr>
        <w:t xml:space="preserve">N. Da Costa and S. </w:t>
      </w:r>
      <w:proofErr w:type="spellStart"/>
      <w:r w:rsidRPr="00FC4B3D">
        <w:rPr>
          <w:rFonts w:ascii="Garamond" w:hAnsi="Garamond"/>
          <w:sz w:val="24"/>
          <w:szCs w:val="24"/>
          <w:shd w:val="clear" w:color="auto" w:fill="FFFFFF"/>
        </w:rPr>
        <w:t>Wuppuluri</w:t>
      </w:r>
      <w:proofErr w:type="spellEnd"/>
      <w:r w:rsidRPr="00FC4B3D">
        <w:rPr>
          <w:rFonts w:ascii="Garamond" w:hAnsi="Garamond"/>
          <w:sz w:val="24"/>
          <w:szCs w:val="24"/>
          <w:shd w:val="clear" w:color="auto" w:fill="FFFFFF"/>
        </w:rPr>
        <w:t xml:space="preserve"> (eds.), </w:t>
      </w:r>
      <w:proofErr w:type="spellStart"/>
      <w:r w:rsidRPr="00FC4B3D">
        <w:rPr>
          <w:rFonts w:ascii="Garamond" w:hAnsi="Garamond"/>
          <w:i/>
          <w:sz w:val="24"/>
          <w:szCs w:val="24"/>
        </w:rPr>
        <w:t>Wittgensteinian</w:t>
      </w:r>
      <w:proofErr w:type="spellEnd"/>
      <w:r w:rsidRPr="00FC4B3D">
        <w:rPr>
          <w:rFonts w:ascii="Garamond" w:hAnsi="Garamond"/>
          <w:i/>
          <w:sz w:val="24"/>
          <w:szCs w:val="24"/>
        </w:rPr>
        <w:t xml:space="preserve">. </w:t>
      </w:r>
      <w:r w:rsidRPr="00FC4B3D">
        <w:rPr>
          <w:rFonts w:ascii="Garamond" w:hAnsi="Garamond"/>
          <w:i/>
          <w:sz w:val="24"/>
          <w:szCs w:val="24"/>
          <w:shd w:val="clear" w:color="auto" w:fill="FFFFFF"/>
        </w:rPr>
        <w:t xml:space="preserve">Looking </w:t>
      </w:r>
      <w:proofErr w:type="gramStart"/>
      <w:r w:rsidRPr="00FC4B3D">
        <w:rPr>
          <w:rFonts w:ascii="Garamond" w:hAnsi="Garamond"/>
          <w:i/>
          <w:sz w:val="24"/>
          <w:szCs w:val="24"/>
          <w:shd w:val="clear" w:color="auto" w:fill="FFFFFF"/>
        </w:rPr>
        <w:t>At</w:t>
      </w:r>
      <w:proofErr w:type="gramEnd"/>
      <w:r w:rsidRPr="00FC4B3D">
        <w:rPr>
          <w:rFonts w:ascii="Garamond" w:hAnsi="Garamond"/>
          <w:i/>
          <w:sz w:val="24"/>
          <w:szCs w:val="24"/>
          <w:shd w:val="clear" w:color="auto" w:fill="FFFFFF"/>
        </w:rPr>
        <w:t xml:space="preserve"> The World from The Viewpoint Of Wittgenstein’s Philosophy</w:t>
      </w:r>
      <w:r w:rsidRPr="00FC4B3D">
        <w:rPr>
          <w:rFonts w:ascii="Garamond" w:hAnsi="Garamond"/>
          <w:sz w:val="24"/>
          <w:szCs w:val="24"/>
          <w:shd w:val="clear" w:color="auto" w:fill="FFFFFF"/>
        </w:rPr>
        <w:t>, Springer, 2019, pp. 107-121.</w:t>
      </w:r>
    </w:p>
    <w:p w14:paraId="2D163686" w14:textId="77777777" w:rsidR="007D5925" w:rsidRPr="00FC4B3D" w:rsidRDefault="007D5925" w:rsidP="007D5925">
      <w:pPr>
        <w:spacing w:after="0" w:line="360" w:lineRule="auto"/>
        <w:jc w:val="both"/>
        <w:rPr>
          <w:rFonts w:ascii="Garamond" w:hAnsi="Garamond"/>
          <w:sz w:val="24"/>
          <w:szCs w:val="24"/>
        </w:rPr>
      </w:pPr>
      <w:proofErr w:type="spellStart"/>
      <w:r w:rsidRPr="00FC4B3D">
        <w:rPr>
          <w:rFonts w:ascii="Garamond" w:hAnsi="Garamond"/>
          <w:sz w:val="24"/>
          <w:szCs w:val="24"/>
        </w:rPr>
        <w:t>Coliva</w:t>
      </w:r>
      <w:proofErr w:type="spellEnd"/>
      <w:r w:rsidRPr="00FC4B3D">
        <w:rPr>
          <w:rFonts w:ascii="Garamond" w:hAnsi="Garamond"/>
          <w:sz w:val="24"/>
          <w:szCs w:val="24"/>
        </w:rPr>
        <w:t>, A. 2020</w:t>
      </w:r>
      <w:r w:rsidR="00016933" w:rsidRPr="00FC4B3D">
        <w:rPr>
          <w:rFonts w:ascii="Garamond" w:hAnsi="Garamond"/>
          <w:sz w:val="24"/>
          <w:szCs w:val="24"/>
        </w:rPr>
        <w:t>a</w:t>
      </w:r>
      <w:r w:rsidRPr="00FC4B3D">
        <w:rPr>
          <w:rFonts w:ascii="Garamond" w:hAnsi="Garamond"/>
          <w:sz w:val="24"/>
          <w:szCs w:val="24"/>
        </w:rPr>
        <w:t xml:space="preserve"> “Against neo-</w:t>
      </w:r>
      <w:proofErr w:type="spellStart"/>
      <w:r w:rsidRPr="00FC4B3D">
        <w:rPr>
          <w:rFonts w:ascii="Garamond" w:hAnsi="Garamond"/>
          <w:sz w:val="24"/>
          <w:szCs w:val="24"/>
        </w:rPr>
        <w:t>Wittgensteinian</w:t>
      </w:r>
      <w:proofErr w:type="spellEnd"/>
      <w:r w:rsidRPr="00FC4B3D">
        <w:rPr>
          <w:rFonts w:ascii="Garamond" w:hAnsi="Garamond"/>
          <w:sz w:val="24"/>
          <w:szCs w:val="24"/>
        </w:rPr>
        <w:t xml:space="preserve"> entitlements</w:t>
      </w:r>
      <w:r w:rsidR="00293A94" w:rsidRPr="00FC4B3D">
        <w:rPr>
          <w:rFonts w:ascii="Garamond" w:hAnsi="Garamond"/>
          <w:sz w:val="24"/>
          <w:szCs w:val="24"/>
        </w:rPr>
        <w:t>”, in P. Graham and N. Pedersen</w:t>
      </w:r>
      <w:r w:rsidRPr="00FC4B3D">
        <w:rPr>
          <w:rFonts w:ascii="Garamond" w:hAnsi="Garamond"/>
          <w:sz w:val="24"/>
          <w:szCs w:val="24"/>
        </w:rPr>
        <w:t xml:space="preserve"> (eds.) </w:t>
      </w:r>
      <w:r w:rsidRPr="00FC4B3D">
        <w:rPr>
          <w:rFonts w:ascii="Garamond" w:hAnsi="Garamond"/>
          <w:i/>
          <w:sz w:val="24"/>
          <w:szCs w:val="24"/>
        </w:rPr>
        <w:t>New Essays on Entitlements</w:t>
      </w:r>
      <w:r w:rsidRPr="00FC4B3D">
        <w:rPr>
          <w:rFonts w:ascii="Garamond" w:hAnsi="Garamond"/>
          <w:sz w:val="24"/>
          <w:szCs w:val="24"/>
        </w:rPr>
        <w:t xml:space="preserve">, Oxford, Oxford University Press, </w:t>
      </w:r>
      <w:r w:rsidR="00C03372" w:rsidRPr="00FC4B3D">
        <w:rPr>
          <w:rFonts w:ascii="Garamond" w:hAnsi="Garamond"/>
          <w:sz w:val="24"/>
          <w:szCs w:val="24"/>
        </w:rPr>
        <w:t>pp</w:t>
      </w:r>
      <w:r w:rsidR="001A3100" w:rsidRPr="00FC4B3D">
        <w:rPr>
          <w:rFonts w:ascii="Garamond" w:hAnsi="Garamond"/>
          <w:sz w:val="24"/>
          <w:szCs w:val="24"/>
        </w:rPr>
        <w:t>. 327-343</w:t>
      </w:r>
      <w:r w:rsidRPr="00FC4B3D">
        <w:rPr>
          <w:rFonts w:ascii="Garamond" w:hAnsi="Garamond"/>
          <w:sz w:val="24"/>
          <w:szCs w:val="24"/>
        </w:rPr>
        <w:t>.</w:t>
      </w:r>
    </w:p>
    <w:p w14:paraId="48367990" w14:textId="77777777" w:rsidR="00016933" w:rsidRPr="00FC4B3D" w:rsidRDefault="00016933" w:rsidP="007D5925">
      <w:pPr>
        <w:spacing w:after="0" w:line="360" w:lineRule="auto"/>
        <w:jc w:val="both"/>
        <w:rPr>
          <w:rFonts w:ascii="Garamond" w:hAnsi="Garamond"/>
          <w:sz w:val="24"/>
          <w:szCs w:val="24"/>
        </w:rPr>
      </w:pPr>
      <w:proofErr w:type="spellStart"/>
      <w:r w:rsidRPr="00FC4B3D">
        <w:rPr>
          <w:rFonts w:ascii="Garamond" w:hAnsi="Garamond"/>
          <w:sz w:val="24"/>
          <w:szCs w:val="24"/>
        </w:rPr>
        <w:t>Coliva</w:t>
      </w:r>
      <w:proofErr w:type="spellEnd"/>
      <w:r w:rsidRPr="00FC4B3D">
        <w:rPr>
          <w:rFonts w:ascii="Garamond" w:hAnsi="Garamond"/>
          <w:sz w:val="24"/>
          <w:szCs w:val="24"/>
        </w:rPr>
        <w:t xml:space="preserve">, A. 2020b “Which philosophy after philosophy? </w:t>
      </w:r>
      <w:proofErr w:type="spellStart"/>
      <w:r w:rsidRPr="00FC4B3D">
        <w:rPr>
          <w:rFonts w:ascii="Garamond" w:hAnsi="Garamond"/>
          <w:sz w:val="24"/>
          <w:szCs w:val="24"/>
        </w:rPr>
        <w:t>Rorty</w:t>
      </w:r>
      <w:proofErr w:type="spellEnd"/>
      <w:r w:rsidRPr="00FC4B3D">
        <w:rPr>
          <w:rFonts w:ascii="Garamond" w:hAnsi="Garamond"/>
          <w:sz w:val="24"/>
          <w:szCs w:val="24"/>
        </w:rPr>
        <w:t>, Wittgenstein and Goethe”, forthcoming.</w:t>
      </w:r>
    </w:p>
    <w:p w14:paraId="6CE25CB5" w14:textId="77777777" w:rsidR="00EC2081" w:rsidRPr="00FC4B3D" w:rsidRDefault="00EC2081" w:rsidP="00591AAB">
      <w:pPr>
        <w:spacing w:after="0" w:line="360" w:lineRule="auto"/>
        <w:jc w:val="both"/>
        <w:rPr>
          <w:rFonts w:ascii="Garamond" w:hAnsi="Garamond"/>
          <w:sz w:val="24"/>
          <w:szCs w:val="24"/>
        </w:rPr>
      </w:pPr>
      <w:r w:rsidRPr="00FC4B3D">
        <w:rPr>
          <w:rFonts w:ascii="Garamond" w:hAnsi="Garamond"/>
          <w:sz w:val="24"/>
          <w:szCs w:val="24"/>
        </w:rPr>
        <w:t xml:space="preserve">Conant, J. 1998 ‘Wittgenstein on meaning and use’, </w:t>
      </w:r>
      <w:r w:rsidRPr="00FC4B3D">
        <w:rPr>
          <w:rFonts w:ascii="Garamond" w:hAnsi="Garamond"/>
          <w:i/>
          <w:iCs/>
          <w:sz w:val="24"/>
          <w:szCs w:val="24"/>
        </w:rPr>
        <w:t>Philosophical Investigations</w:t>
      </w:r>
      <w:r w:rsidRPr="00FC4B3D">
        <w:rPr>
          <w:rFonts w:ascii="Garamond" w:hAnsi="Garamond"/>
          <w:sz w:val="24"/>
          <w:szCs w:val="24"/>
        </w:rPr>
        <w:t xml:space="preserve"> 21, pp. 222-50.</w:t>
      </w:r>
    </w:p>
    <w:p w14:paraId="430B6BF6" w14:textId="77777777" w:rsidR="00EC2081" w:rsidRPr="00FC4B3D" w:rsidRDefault="00EC2081" w:rsidP="00591AAB">
      <w:pPr>
        <w:pStyle w:val="FootnoteText"/>
        <w:spacing w:line="360" w:lineRule="auto"/>
        <w:jc w:val="both"/>
        <w:rPr>
          <w:rFonts w:ascii="Garamond" w:eastAsia="Times New Roman" w:hAnsi="Garamond" w:cs="Times New Roman"/>
          <w:color w:val="000000"/>
          <w:sz w:val="24"/>
          <w:szCs w:val="24"/>
          <w:lang w:val="en-US" w:eastAsia="it-IT"/>
        </w:rPr>
      </w:pPr>
      <w:r w:rsidRPr="00FC4B3D">
        <w:rPr>
          <w:rFonts w:ascii="Garamond" w:eastAsia="Times New Roman" w:hAnsi="Garamond" w:cs="Times New Roman"/>
          <w:color w:val="000000"/>
          <w:sz w:val="24"/>
          <w:szCs w:val="24"/>
          <w:lang w:val="en-US" w:eastAsia="it-IT"/>
        </w:rPr>
        <w:t xml:space="preserve">DeRose, K. 1995 “Solving the skeptical problem”, </w:t>
      </w:r>
      <w:r w:rsidRPr="00FC4B3D">
        <w:rPr>
          <w:rFonts w:ascii="Garamond" w:eastAsia="Times New Roman" w:hAnsi="Garamond" w:cs="Times New Roman"/>
          <w:i/>
          <w:iCs/>
          <w:color w:val="000000"/>
          <w:sz w:val="24"/>
          <w:szCs w:val="24"/>
          <w:bdr w:val="none" w:sz="0" w:space="0" w:color="auto" w:frame="1"/>
          <w:lang w:val="en-US" w:eastAsia="it-IT"/>
        </w:rPr>
        <w:t>Philosophical Review</w:t>
      </w:r>
      <w:r w:rsidRPr="00FC4B3D">
        <w:rPr>
          <w:rFonts w:ascii="Garamond" w:eastAsia="Times New Roman" w:hAnsi="Garamond" w:cs="Times New Roman"/>
          <w:color w:val="000000"/>
          <w:sz w:val="24"/>
          <w:szCs w:val="24"/>
          <w:lang w:val="en-US" w:eastAsia="it-IT"/>
        </w:rPr>
        <w:t xml:space="preserve"> 104/1, pp. 1-52.</w:t>
      </w:r>
    </w:p>
    <w:p w14:paraId="28399EE6" w14:textId="77777777" w:rsidR="00EC2081" w:rsidRPr="00FC4B3D" w:rsidRDefault="00EC2081" w:rsidP="00591AAB">
      <w:pPr>
        <w:spacing w:after="0" w:line="360" w:lineRule="auto"/>
        <w:jc w:val="both"/>
        <w:textAlignment w:val="baseline"/>
        <w:rPr>
          <w:rFonts w:ascii="Garamond" w:eastAsia="Times New Roman" w:hAnsi="Garamond" w:cs="Times New Roman"/>
          <w:color w:val="000000"/>
          <w:sz w:val="24"/>
          <w:szCs w:val="24"/>
          <w:lang w:eastAsia="it-IT"/>
        </w:rPr>
      </w:pPr>
      <w:r w:rsidRPr="00FC4B3D">
        <w:rPr>
          <w:rFonts w:ascii="Garamond" w:eastAsia="Times New Roman" w:hAnsi="Garamond" w:cs="Times New Roman"/>
          <w:color w:val="000000"/>
          <w:sz w:val="24"/>
          <w:szCs w:val="24"/>
          <w:lang w:eastAsia="it-IT"/>
        </w:rPr>
        <w:t xml:space="preserve">Harman, G. and Sherman, B. 2011 “Knowledge and assumptions”, </w:t>
      </w:r>
      <w:r w:rsidRPr="00FC4B3D">
        <w:rPr>
          <w:rFonts w:ascii="Garamond" w:eastAsia="Times New Roman" w:hAnsi="Garamond" w:cs="Times New Roman"/>
          <w:i/>
          <w:color w:val="000000"/>
          <w:sz w:val="24"/>
          <w:szCs w:val="24"/>
          <w:lang w:eastAsia="it-IT"/>
        </w:rPr>
        <w:t>Philosophical Studies</w:t>
      </w:r>
      <w:r w:rsidRPr="00FC4B3D">
        <w:rPr>
          <w:rFonts w:ascii="Garamond" w:eastAsia="Times New Roman" w:hAnsi="Garamond" w:cs="Times New Roman"/>
          <w:color w:val="000000"/>
          <w:sz w:val="24"/>
          <w:szCs w:val="24"/>
          <w:lang w:eastAsia="it-IT"/>
        </w:rPr>
        <w:t xml:space="preserve"> 156/1, pp. 131-140.</w:t>
      </w:r>
    </w:p>
    <w:p w14:paraId="4591B1ED" w14:textId="77777777" w:rsidR="00EC2081" w:rsidRPr="00FC4B3D" w:rsidRDefault="00EC2081" w:rsidP="00591AAB">
      <w:pPr>
        <w:spacing w:after="0" w:line="360" w:lineRule="auto"/>
        <w:jc w:val="both"/>
        <w:rPr>
          <w:rFonts w:ascii="Garamond" w:hAnsi="Garamond"/>
          <w:sz w:val="24"/>
          <w:szCs w:val="24"/>
        </w:rPr>
      </w:pPr>
      <w:r w:rsidRPr="00FC4B3D">
        <w:rPr>
          <w:rFonts w:ascii="Garamond" w:hAnsi="Garamond"/>
          <w:sz w:val="24"/>
          <w:szCs w:val="24"/>
        </w:rPr>
        <w:lastRenderedPageBreak/>
        <w:t xml:space="preserve">Maddy, P. 2017 </w:t>
      </w:r>
      <w:r w:rsidRPr="00FC4B3D">
        <w:rPr>
          <w:rFonts w:ascii="Garamond" w:hAnsi="Garamond"/>
          <w:i/>
          <w:sz w:val="24"/>
          <w:szCs w:val="24"/>
        </w:rPr>
        <w:t>What Do Philosophers Do?</w:t>
      </w:r>
      <w:r w:rsidRPr="00FC4B3D">
        <w:rPr>
          <w:rFonts w:ascii="Garamond" w:hAnsi="Garamond"/>
          <w:sz w:val="24"/>
          <w:szCs w:val="24"/>
        </w:rPr>
        <w:t xml:space="preserve"> </w:t>
      </w:r>
      <w:r w:rsidRPr="00FC4B3D">
        <w:rPr>
          <w:rFonts w:ascii="Garamond" w:hAnsi="Garamond"/>
          <w:i/>
          <w:sz w:val="24"/>
          <w:szCs w:val="24"/>
        </w:rPr>
        <w:t>Skepticism and the Practice of Philosophy</w:t>
      </w:r>
      <w:r w:rsidRPr="00FC4B3D">
        <w:rPr>
          <w:rFonts w:ascii="Garamond" w:hAnsi="Garamond"/>
          <w:sz w:val="24"/>
          <w:szCs w:val="24"/>
        </w:rPr>
        <w:t>, Oxford, Oxford University Press.</w:t>
      </w:r>
    </w:p>
    <w:p w14:paraId="016398CF" w14:textId="77777777" w:rsidR="00EC2081" w:rsidRPr="00FC4B3D" w:rsidRDefault="00EC2081" w:rsidP="00591AAB">
      <w:pPr>
        <w:spacing w:after="0" w:line="360" w:lineRule="auto"/>
        <w:jc w:val="both"/>
        <w:rPr>
          <w:rFonts w:ascii="Garamond" w:hAnsi="Garamond"/>
          <w:sz w:val="24"/>
          <w:szCs w:val="24"/>
        </w:rPr>
      </w:pPr>
      <w:r w:rsidRPr="00FC4B3D">
        <w:rPr>
          <w:rFonts w:ascii="Garamond" w:hAnsi="Garamond"/>
          <w:sz w:val="24"/>
          <w:szCs w:val="24"/>
        </w:rPr>
        <w:t xml:space="preserve">McGinn, M. 1989 </w:t>
      </w:r>
      <w:r w:rsidRPr="00FC4B3D">
        <w:rPr>
          <w:rFonts w:ascii="Garamond" w:hAnsi="Garamond"/>
          <w:i/>
          <w:sz w:val="24"/>
          <w:szCs w:val="24"/>
        </w:rPr>
        <w:t xml:space="preserve">Sense and Certainty: A Dissolution of </w:t>
      </w:r>
      <w:proofErr w:type="spellStart"/>
      <w:r w:rsidRPr="00FC4B3D">
        <w:rPr>
          <w:rFonts w:ascii="Garamond" w:hAnsi="Garamond"/>
          <w:i/>
          <w:sz w:val="24"/>
          <w:szCs w:val="24"/>
        </w:rPr>
        <w:t>Scepticism</w:t>
      </w:r>
      <w:proofErr w:type="spellEnd"/>
      <w:r w:rsidRPr="00FC4B3D">
        <w:rPr>
          <w:rFonts w:ascii="Garamond" w:hAnsi="Garamond"/>
          <w:sz w:val="24"/>
          <w:szCs w:val="24"/>
        </w:rPr>
        <w:t>, Oxford, Blackwell.</w:t>
      </w:r>
    </w:p>
    <w:p w14:paraId="64E9EA27" w14:textId="77777777" w:rsidR="00EC2081" w:rsidRPr="00FC4B3D" w:rsidRDefault="00EC2081" w:rsidP="00591AAB">
      <w:pPr>
        <w:spacing w:after="0" w:line="360" w:lineRule="auto"/>
        <w:jc w:val="both"/>
        <w:rPr>
          <w:rFonts w:ascii="Garamond" w:hAnsi="Garamond"/>
          <w:sz w:val="24"/>
          <w:szCs w:val="24"/>
        </w:rPr>
      </w:pPr>
      <w:proofErr w:type="spellStart"/>
      <w:r w:rsidRPr="00FC4B3D">
        <w:rPr>
          <w:rFonts w:ascii="Garamond" w:hAnsi="Garamond"/>
          <w:sz w:val="24"/>
          <w:szCs w:val="24"/>
        </w:rPr>
        <w:t>Moyal</w:t>
      </w:r>
      <w:proofErr w:type="spellEnd"/>
      <w:r w:rsidRPr="00FC4B3D">
        <w:rPr>
          <w:rFonts w:ascii="Garamond" w:hAnsi="Garamond"/>
          <w:sz w:val="24"/>
          <w:szCs w:val="24"/>
        </w:rPr>
        <w:t xml:space="preserve">-Sharrock, D. 2005 </w:t>
      </w:r>
      <w:r w:rsidRPr="00FC4B3D">
        <w:rPr>
          <w:rFonts w:ascii="Garamond" w:hAnsi="Garamond"/>
          <w:i/>
          <w:sz w:val="24"/>
          <w:szCs w:val="24"/>
        </w:rPr>
        <w:t>Understanding Wittgenstein’s</w:t>
      </w:r>
      <w:r w:rsidRPr="00FC4B3D">
        <w:rPr>
          <w:rFonts w:ascii="Garamond" w:hAnsi="Garamond"/>
          <w:sz w:val="24"/>
          <w:szCs w:val="24"/>
        </w:rPr>
        <w:t xml:space="preserve"> On Certainty, London, Palgrave.</w:t>
      </w:r>
    </w:p>
    <w:p w14:paraId="7CC8D9C5" w14:textId="77777777" w:rsidR="00EC2081" w:rsidRPr="00FC4B3D" w:rsidRDefault="00EC2081" w:rsidP="00591AAB">
      <w:pPr>
        <w:spacing w:after="0" w:line="360" w:lineRule="auto"/>
        <w:jc w:val="both"/>
        <w:textAlignment w:val="baseline"/>
        <w:rPr>
          <w:rFonts w:ascii="Garamond" w:hAnsi="Garamond"/>
          <w:sz w:val="24"/>
          <w:szCs w:val="24"/>
        </w:rPr>
      </w:pPr>
      <w:r w:rsidRPr="00FC4B3D">
        <w:rPr>
          <w:rFonts w:ascii="Garamond" w:eastAsia="Times New Roman" w:hAnsi="Garamond" w:cs="Times New Roman"/>
          <w:color w:val="000000"/>
          <w:sz w:val="24"/>
          <w:szCs w:val="24"/>
          <w:lang w:eastAsia="it-IT"/>
        </w:rPr>
        <w:t xml:space="preserve">Pritchard, D. 2016 </w:t>
      </w:r>
      <w:r w:rsidRPr="00FC4B3D">
        <w:rPr>
          <w:rFonts w:ascii="Garamond" w:eastAsia="Times New Roman" w:hAnsi="Garamond" w:cs="Times New Roman"/>
          <w:i/>
          <w:color w:val="000000"/>
          <w:sz w:val="24"/>
          <w:szCs w:val="24"/>
          <w:lang w:eastAsia="it-IT"/>
        </w:rPr>
        <w:t>Epistemic Angst</w:t>
      </w:r>
      <w:r w:rsidRPr="00FC4B3D">
        <w:rPr>
          <w:rFonts w:ascii="Garamond" w:eastAsia="Times New Roman" w:hAnsi="Garamond" w:cs="Times New Roman"/>
          <w:color w:val="000000"/>
          <w:sz w:val="24"/>
          <w:szCs w:val="24"/>
          <w:lang w:eastAsia="it-IT"/>
        </w:rPr>
        <w:t xml:space="preserve">. </w:t>
      </w:r>
      <w:r w:rsidRPr="00FC4B3D">
        <w:rPr>
          <w:rFonts w:ascii="Garamond" w:hAnsi="Garamond"/>
          <w:i/>
          <w:sz w:val="24"/>
          <w:szCs w:val="24"/>
        </w:rPr>
        <w:t>Radical Skepticism and the Groundlessness of Our Believing</w:t>
      </w:r>
      <w:r w:rsidRPr="00FC4B3D">
        <w:rPr>
          <w:rFonts w:ascii="Garamond" w:hAnsi="Garamond"/>
          <w:sz w:val="24"/>
          <w:szCs w:val="24"/>
        </w:rPr>
        <w:t>, Princeton, Princeton University Press.</w:t>
      </w:r>
    </w:p>
    <w:p w14:paraId="40574CAF" w14:textId="77777777" w:rsidR="00EC2081" w:rsidRPr="00FC4B3D" w:rsidRDefault="00EC2081" w:rsidP="00591AAB">
      <w:pPr>
        <w:spacing w:after="0" w:line="360" w:lineRule="auto"/>
        <w:jc w:val="both"/>
        <w:rPr>
          <w:rFonts w:ascii="Garamond" w:hAnsi="Garamond"/>
          <w:sz w:val="24"/>
          <w:szCs w:val="24"/>
        </w:rPr>
      </w:pPr>
      <w:proofErr w:type="spellStart"/>
      <w:r w:rsidRPr="00FC4B3D">
        <w:rPr>
          <w:rFonts w:ascii="Garamond" w:hAnsi="Garamond"/>
          <w:sz w:val="24"/>
          <w:szCs w:val="24"/>
        </w:rPr>
        <w:t>Schönbaumsfeld</w:t>
      </w:r>
      <w:proofErr w:type="spellEnd"/>
      <w:r w:rsidRPr="00FC4B3D">
        <w:rPr>
          <w:rFonts w:ascii="Garamond" w:hAnsi="Garamond"/>
          <w:sz w:val="24"/>
          <w:szCs w:val="24"/>
        </w:rPr>
        <w:t xml:space="preserve">, G. 2017 </w:t>
      </w:r>
      <w:r w:rsidRPr="00FC4B3D">
        <w:rPr>
          <w:rFonts w:ascii="Garamond" w:hAnsi="Garamond"/>
          <w:i/>
          <w:sz w:val="24"/>
          <w:szCs w:val="24"/>
        </w:rPr>
        <w:t>The Illusion of Doubt</w:t>
      </w:r>
      <w:r w:rsidRPr="00FC4B3D">
        <w:rPr>
          <w:rFonts w:ascii="Garamond" w:hAnsi="Garamond"/>
          <w:sz w:val="24"/>
          <w:szCs w:val="24"/>
        </w:rPr>
        <w:t>, Oxford, Oxford University Press.</w:t>
      </w:r>
    </w:p>
    <w:p w14:paraId="7025A1A0" w14:textId="77777777" w:rsidR="00EC2081" w:rsidRPr="00FC4B3D" w:rsidRDefault="00EC2081" w:rsidP="00591AAB">
      <w:pPr>
        <w:spacing w:after="0" w:line="360" w:lineRule="auto"/>
        <w:ind w:left="426" w:hanging="426"/>
        <w:jc w:val="both"/>
        <w:rPr>
          <w:rFonts w:ascii="Garamond" w:hAnsi="Garamond" w:cs="Times New Roman"/>
          <w:sz w:val="24"/>
          <w:szCs w:val="24"/>
        </w:rPr>
      </w:pPr>
      <w:r w:rsidRPr="00FC4B3D">
        <w:rPr>
          <w:rFonts w:ascii="Garamond" w:hAnsi="Garamond" w:cs="Times New Roman"/>
          <w:sz w:val="24"/>
          <w:szCs w:val="24"/>
        </w:rPr>
        <w:t xml:space="preserve">Searle, John 1969 </w:t>
      </w:r>
      <w:r w:rsidRPr="00FC4B3D">
        <w:rPr>
          <w:rFonts w:ascii="Garamond" w:hAnsi="Garamond" w:cs="Times New Roman"/>
          <w:i/>
          <w:sz w:val="24"/>
          <w:szCs w:val="24"/>
        </w:rPr>
        <w:t>Speech Acts: An Essay in the Philosophy of Language</w:t>
      </w:r>
      <w:r w:rsidRPr="00FC4B3D">
        <w:rPr>
          <w:rFonts w:ascii="Garamond" w:hAnsi="Garamond" w:cs="Times New Roman"/>
          <w:sz w:val="24"/>
          <w:szCs w:val="24"/>
        </w:rPr>
        <w:t>, Cambridge: Cambridge University Press.</w:t>
      </w:r>
    </w:p>
    <w:p w14:paraId="6EB65EF9" w14:textId="77777777" w:rsidR="00EC2081" w:rsidRPr="00FC4B3D" w:rsidRDefault="00EC2081" w:rsidP="00591AAB">
      <w:pPr>
        <w:spacing w:line="360" w:lineRule="auto"/>
        <w:jc w:val="both"/>
        <w:rPr>
          <w:rFonts w:ascii="Garamond" w:hAnsi="Garamond"/>
          <w:sz w:val="24"/>
          <w:szCs w:val="24"/>
        </w:rPr>
      </w:pPr>
      <w:r w:rsidRPr="00FC4B3D">
        <w:rPr>
          <w:rFonts w:ascii="Garamond" w:hAnsi="Garamond"/>
          <w:sz w:val="24"/>
          <w:szCs w:val="24"/>
        </w:rPr>
        <w:t xml:space="preserve">Travis, Charles 1989 </w:t>
      </w:r>
      <w:r w:rsidRPr="00FC4B3D">
        <w:rPr>
          <w:rFonts w:ascii="Garamond" w:hAnsi="Garamond"/>
          <w:i/>
          <w:iCs/>
          <w:sz w:val="24"/>
          <w:szCs w:val="24"/>
        </w:rPr>
        <w:t>The Uses of Sense</w:t>
      </w:r>
      <w:r w:rsidRPr="00FC4B3D">
        <w:rPr>
          <w:rFonts w:ascii="Garamond" w:hAnsi="Garamond"/>
          <w:sz w:val="24"/>
          <w:szCs w:val="24"/>
        </w:rPr>
        <w:t>, Oxford: Oxford University Press.</w:t>
      </w:r>
    </w:p>
    <w:p w14:paraId="65666D5E" w14:textId="77777777" w:rsidR="00EC2081" w:rsidRPr="00FC4B3D" w:rsidRDefault="00EC2081" w:rsidP="00591AAB">
      <w:pPr>
        <w:spacing w:after="0" w:line="360" w:lineRule="auto"/>
        <w:jc w:val="both"/>
        <w:textAlignment w:val="baseline"/>
        <w:rPr>
          <w:rFonts w:ascii="Garamond" w:eastAsia="Times New Roman" w:hAnsi="Garamond" w:cs="Times New Roman"/>
          <w:color w:val="000000"/>
          <w:sz w:val="24"/>
          <w:szCs w:val="24"/>
          <w:lang w:eastAsia="it-IT"/>
        </w:rPr>
      </w:pPr>
      <w:r w:rsidRPr="00FC4B3D">
        <w:rPr>
          <w:rFonts w:ascii="Garamond" w:eastAsia="Times New Roman" w:hAnsi="Garamond" w:cs="Times New Roman"/>
          <w:color w:val="000000"/>
          <w:sz w:val="24"/>
          <w:szCs w:val="24"/>
          <w:lang w:eastAsia="it-IT"/>
        </w:rPr>
        <w:t xml:space="preserve">Williams, M. 1991 </w:t>
      </w:r>
      <w:r w:rsidRPr="00FC4B3D">
        <w:rPr>
          <w:rFonts w:ascii="Garamond" w:eastAsia="Times New Roman" w:hAnsi="Garamond" w:cs="Times New Roman"/>
          <w:i/>
          <w:iCs/>
          <w:color w:val="000000"/>
          <w:sz w:val="24"/>
          <w:szCs w:val="24"/>
          <w:bdr w:val="none" w:sz="0" w:space="0" w:color="auto" w:frame="1"/>
          <w:lang w:eastAsia="it-IT"/>
        </w:rPr>
        <w:t>Unnatural Doubts</w:t>
      </w:r>
      <w:r w:rsidRPr="00FC4B3D">
        <w:rPr>
          <w:rFonts w:ascii="Garamond" w:eastAsia="Times New Roman" w:hAnsi="Garamond" w:cs="Times New Roman"/>
          <w:color w:val="000000"/>
          <w:sz w:val="24"/>
          <w:szCs w:val="24"/>
          <w:lang w:eastAsia="it-IT"/>
        </w:rPr>
        <w:t xml:space="preserve">, Oxford, Blackwell. </w:t>
      </w:r>
    </w:p>
    <w:p w14:paraId="257E932E" w14:textId="77777777" w:rsidR="00EC2081" w:rsidRPr="00FC4B3D" w:rsidRDefault="00EC2081" w:rsidP="00591AAB">
      <w:pPr>
        <w:spacing w:after="0" w:line="360" w:lineRule="auto"/>
        <w:ind w:left="426" w:hanging="426"/>
        <w:jc w:val="both"/>
        <w:rPr>
          <w:rFonts w:ascii="Garamond" w:hAnsi="Garamond" w:cs="Times New Roman"/>
          <w:sz w:val="24"/>
          <w:szCs w:val="24"/>
        </w:rPr>
      </w:pPr>
      <w:r w:rsidRPr="00FC4B3D">
        <w:rPr>
          <w:rFonts w:ascii="Garamond" w:hAnsi="Garamond" w:cs="Times New Roman"/>
          <w:sz w:val="24"/>
          <w:szCs w:val="24"/>
        </w:rPr>
        <w:t xml:space="preserve">Williams, Michael 2004a “Wittgenstein’s refutation of idealism”, </w:t>
      </w:r>
      <w:proofErr w:type="gramStart"/>
      <w:r w:rsidRPr="00FC4B3D">
        <w:rPr>
          <w:rFonts w:ascii="Garamond" w:hAnsi="Garamond" w:cs="Times New Roman"/>
          <w:sz w:val="24"/>
          <w:szCs w:val="24"/>
        </w:rPr>
        <w:t>in:</w:t>
      </w:r>
      <w:proofErr w:type="gramEnd"/>
      <w:r w:rsidRPr="00FC4B3D">
        <w:rPr>
          <w:rFonts w:ascii="Garamond" w:hAnsi="Garamond" w:cs="Times New Roman"/>
          <w:sz w:val="24"/>
          <w:szCs w:val="24"/>
        </w:rPr>
        <w:t xml:space="preserve"> Denis MacManus (ed.), </w:t>
      </w:r>
      <w:r w:rsidRPr="00FC4B3D">
        <w:rPr>
          <w:rFonts w:ascii="Garamond" w:hAnsi="Garamond" w:cs="Times New Roman"/>
          <w:i/>
          <w:sz w:val="24"/>
          <w:szCs w:val="24"/>
        </w:rPr>
        <w:t xml:space="preserve">Wittgenstein and </w:t>
      </w:r>
      <w:proofErr w:type="spellStart"/>
      <w:r w:rsidRPr="00FC4B3D">
        <w:rPr>
          <w:rFonts w:ascii="Garamond" w:hAnsi="Garamond" w:cs="Times New Roman"/>
          <w:i/>
          <w:sz w:val="24"/>
          <w:szCs w:val="24"/>
        </w:rPr>
        <w:t>Scepticism</w:t>
      </w:r>
      <w:proofErr w:type="spellEnd"/>
      <w:r w:rsidRPr="00FC4B3D">
        <w:rPr>
          <w:rFonts w:ascii="Garamond" w:hAnsi="Garamond" w:cs="Times New Roman"/>
          <w:sz w:val="24"/>
          <w:szCs w:val="24"/>
        </w:rPr>
        <w:t>, London-New York: Routledge, 76-96.</w:t>
      </w:r>
    </w:p>
    <w:p w14:paraId="03E111FF" w14:textId="77777777" w:rsidR="00EC2081" w:rsidRPr="00FC4B3D" w:rsidRDefault="00EC2081" w:rsidP="00591AAB">
      <w:pPr>
        <w:spacing w:line="360" w:lineRule="auto"/>
        <w:jc w:val="both"/>
        <w:rPr>
          <w:rFonts w:ascii="Garamond" w:hAnsi="Garamond"/>
          <w:sz w:val="24"/>
          <w:szCs w:val="24"/>
        </w:rPr>
      </w:pPr>
      <w:r w:rsidRPr="00FC4B3D">
        <w:rPr>
          <w:rFonts w:ascii="Garamond" w:hAnsi="Garamond"/>
          <w:sz w:val="24"/>
          <w:szCs w:val="24"/>
        </w:rPr>
        <w:t xml:space="preserve">Williams, Michael 2004b “Wittgenstein, truth and certainty”, in: Max </w:t>
      </w:r>
      <w:proofErr w:type="spellStart"/>
      <w:r w:rsidRPr="00FC4B3D">
        <w:rPr>
          <w:rFonts w:ascii="Garamond" w:hAnsi="Garamond"/>
          <w:sz w:val="24"/>
          <w:szCs w:val="24"/>
        </w:rPr>
        <w:t>Kölbel</w:t>
      </w:r>
      <w:proofErr w:type="spellEnd"/>
      <w:r w:rsidRPr="00FC4B3D">
        <w:rPr>
          <w:rFonts w:ascii="Garamond" w:hAnsi="Garamond"/>
          <w:sz w:val="24"/>
          <w:szCs w:val="24"/>
        </w:rPr>
        <w:t xml:space="preserve"> and Bernhard Weiss 2004 (eds.), </w:t>
      </w:r>
      <w:r w:rsidRPr="00FC4B3D">
        <w:rPr>
          <w:rFonts w:ascii="Garamond" w:hAnsi="Garamond"/>
          <w:i/>
          <w:iCs/>
          <w:sz w:val="24"/>
          <w:szCs w:val="24"/>
        </w:rPr>
        <w:t>Wittgenstein’s Lasting Significance</w:t>
      </w:r>
      <w:r w:rsidRPr="00FC4B3D">
        <w:rPr>
          <w:rFonts w:ascii="Garamond" w:hAnsi="Garamond"/>
          <w:sz w:val="24"/>
          <w:szCs w:val="24"/>
        </w:rPr>
        <w:t>, London-New York: Routledge, 249-84.</w:t>
      </w:r>
    </w:p>
    <w:p w14:paraId="6C7C25A5" w14:textId="77777777" w:rsidR="000021FD" w:rsidRPr="00FC4B3D" w:rsidRDefault="000021FD" w:rsidP="00591AAB">
      <w:pPr>
        <w:spacing w:line="360" w:lineRule="auto"/>
        <w:jc w:val="both"/>
        <w:rPr>
          <w:rFonts w:ascii="Garamond" w:hAnsi="Garamond"/>
          <w:sz w:val="24"/>
          <w:szCs w:val="24"/>
        </w:rPr>
      </w:pPr>
      <w:r w:rsidRPr="00FC4B3D">
        <w:rPr>
          <w:rFonts w:ascii="Garamond" w:hAnsi="Garamond"/>
          <w:sz w:val="24"/>
          <w:szCs w:val="24"/>
        </w:rPr>
        <w:t xml:space="preserve">Wittgenstein, L. 1953 </w:t>
      </w:r>
      <w:r w:rsidRPr="00FC4B3D">
        <w:rPr>
          <w:rFonts w:ascii="Garamond" w:hAnsi="Garamond"/>
          <w:i/>
          <w:sz w:val="24"/>
          <w:szCs w:val="24"/>
        </w:rPr>
        <w:t>Philosophical Investigations</w:t>
      </w:r>
      <w:r w:rsidRPr="00FC4B3D">
        <w:rPr>
          <w:rFonts w:ascii="Garamond" w:hAnsi="Garamond"/>
          <w:sz w:val="24"/>
          <w:szCs w:val="24"/>
        </w:rPr>
        <w:t>, Oxford, Blackwell.</w:t>
      </w:r>
    </w:p>
    <w:p w14:paraId="71BD2C1D" w14:textId="77777777" w:rsidR="00EC2081" w:rsidRPr="00FC4B3D" w:rsidRDefault="00EC2081" w:rsidP="00591AAB">
      <w:pPr>
        <w:spacing w:after="0" w:line="360" w:lineRule="auto"/>
        <w:jc w:val="both"/>
        <w:rPr>
          <w:rFonts w:ascii="Garamond" w:hAnsi="Garamond"/>
          <w:sz w:val="24"/>
          <w:szCs w:val="24"/>
        </w:rPr>
      </w:pPr>
      <w:r w:rsidRPr="00FC4B3D">
        <w:rPr>
          <w:rFonts w:ascii="Garamond" w:hAnsi="Garamond"/>
          <w:sz w:val="24"/>
          <w:szCs w:val="24"/>
        </w:rPr>
        <w:t xml:space="preserve">Wittgenstein, L. 1969 </w:t>
      </w:r>
      <w:r w:rsidRPr="00FC4B3D">
        <w:rPr>
          <w:rFonts w:ascii="Garamond" w:hAnsi="Garamond"/>
          <w:i/>
          <w:iCs/>
          <w:sz w:val="24"/>
          <w:szCs w:val="24"/>
        </w:rPr>
        <w:t>On Certainty</w:t>
      </w:r>
      <w:r w:rsidRPr="00FC4B3D">
        <w:rPr>
          <w:rFonts w:ascii="Garamond" w:hAnsi="Garamond"/>
          <w:sz w:val="24"/>
          <w:szCs w:val="24"/>
        </w:rPr>
        <w:t xml:space="preserve">, </w:t>
      </w:r>
      <w:r w:rsidR="000021FD" w:rsidRPr="00FC4B3D">
        <w:rPr>
          <w:rFonts w:ascii="Garamond" w:hAnsi="Garamond"/>
          <w:sz w:val="24"/>
          <w:szCs w:val="24"/>
        </w:rPr>
        <w:t xml:space="preserve">Oxford, </w:t>
      </w:r>
      <w:r w:rsidRPr="00FC4B3D">
        <w:rPr>
          <w:rFonts w:ascii="Garamond" w:hAnsi="Garamond"/>
          <w:sz w:val="24"/>
          <w:szCs w:val="24"/>
        </w:rPr>
        <w:t>Blackwell.</w:t>
      </w:r>
    </w:p>
    <w:p w14:paraId="01525A70" w14:textId="77777777" w:rsidR="00EC2081" w:rsidRPr="00FC4B3D" w:rsidRDefault="00EC2081" w:rsidP="00591AAB">
      <w:pPr>
        <w:spacing w:after="0" w:line="360" w:lineRule="auto"/>
        <w:jc w:val="both"/>
        <w:rPr>
          <w:rFonts w:ascii="Garamond" w:hAnsi="Garamond"/>
          <w:sz w:val="24"/>
          <w:szCs w:val="24"/>
        </w:rPr>
      </w:pPr>
      <w:r w:rsidRPr="00FC4B3D">
        <w:rPr>
          <w:rFonts w:ascii="Garamond" w:hAnsi="Garamond"/>
          <w:sz w:val="24"/>
          <w:szCs w:val="24"/>
        </w:rPr>
        <w:t xml:space="preserve">Wright, C. 1985 ‘Facts and certainty’, </w:t>
      </w:r>
      <w:r w:rsidRPr="00FC4B3D">
        <w:rPr>
          <w:rFonts w:ascii="Garamond" w:hAnsi="Garamond"/>
          <w:i/>
          <w:sz w:val="24"/>
          <w:szCs w:val="24"/>
        </w:rPr>
        <w:t>Proceedings of the British Academy</w:t>
      </w:r>
      <w:r w:rsidRPr="00FC4B3D">
        <w:rPr>
          <w:rFonts w:ascii="Garamond" w:hAnsi="Garamond"/>
          <w:sz w:val="24"/>
          <w:szCs w:val="24"/>
        </w:rPr>
        <w:t xml:space="preserve"> 71, pp. 429-472.</w:t>
      </w:r>
    </w:p>
    <w:p w14:paraId="4F641E94" w14:textId="77777777" w:rsidR="00EC2081" w:rsidRPr="00FC4B3D" w:rsidRDefault="00EC2081" w:rsidP="00591AAB">
      <w:pPr>
        <w:spacing w:after="0" w:line="360" w:lineRule="auto"/>
        <w:jc w:val="both"/>
        <w:rPr>
          <w:rFonts w:ascii="Garamond" w:hAnsi="Garamond"/>
          <w:sz w:val="24"/>
          <w:szCs w:val="24"/>
        </w:rPr>
      </w:pPr>
      <w:r w:rsidRPr="00FC4B3D">
        <w:rPr>
          <w:rFonts w:ascii="Garamond" w:hAnsi="Garamond"/>
          <w:sz w:val="24"/>
          <w:szCs w:val="24"/>
        </w:rPr>
        <w:t xml:space="preserve">Wright, C. 2004 ‘Warrant for nothing (and foundations for free?), </w:t>
      </w:r>
      <w:r w:rsidRPr="00FC4B3D">
        <w:rPr>
          <w:rFonts w:ascii="Garamond" w:hAnsi="Garamond"/>
          <w:i/>
          <w:iCs/>
          <w:sz w:val="24"/>
          <w:szCs w:val="24"/>
        </w:rPr>
        <w:t>Aristotelian Society Supplementary Vol.</w:t>
      </w:r>
      <w:r w:rsidRPr="00FC4B3D">
        <w:rPr>
          <w:rFonts w:ascii="Garamond" w:hAnsi="Garamond"/>
          <w:sz w:val="24"/>
          <w:szCs w:val="24"/>
        </w:rPr>
        <w:t xml:space="preserve"> 78/1, pp. 167-212.</w:t>
      </w:r>
    </w:p>
    <w:p w14:paraId="4EF5EDD4" w14:textId="77777777" w:rsidR="00EC2081" w:rsidRPr="00FC4B3D" w:rsidRDefault="00EC2081" w:rsidP="00591AAB">
      <w:pPr>
        <w:spacing w:line="360" w:lineRule="auto"/>
        <w:jc w:val="both"/>
        <w:rPr>
          <w:rFonts w:ascii="Garamond" w:hAnsi="Garamond"/>
          <w:sz w:val="24"/>
          <w:szCs w:val="24"/>
        </w:rPr>
      </w:pPr>
    </w:p>
    <w:sectPr w:rsidR="00EC2081" w:rsidRPr="00FC4B3D">
      <w:footerReference w:type="default" r:id="rId9"/>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60C52" w14:textId="77777777" w:rsidR="00D144DA" w:rsidRDefault="00D144DA" w:rsidP="00EC2081">
      <w:pPr>
        <w:spacing w:after="0" w:line="240" w:lineRule="auto"/>
      </w:pPr>
      <w:r>
        <w:separator/>
      </w:r>
    </w:p>
  </w:endnote>
  <w:endnote w:type="continuationSeparator" w:id="0">
    <w:p w14:paraId="7DF0C34F" w14:textId="77777777" w:rsidR="00D144DA" w:rsidRDefault="00D144DA" w:rsidP="00EC2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3433005"/>
      <w:docPartObj>
        <w:docPartGallery w:val="Page Numbers (Bottom of Page)"/>
        <w:docPartUnique/>
      </w:docPartObj>
    </w:sdtPr>
    <w:sdtEndPr>
      <w:rPr>
        <w:rFonts w:ascii="Garamond" w:hAnsi="Garamond"/>
        <w:noProof/>
      </w:rPr>
    </w:sdtEndPr>
    <w:sdtContent>
      <w:p w14:paraId="3FBC2FFA" w14:textId="7CFAF07F" w:rsidR="009462EC" w:rsidRPr="009B5216" w:rsidRDefault="009462EC">
        <w:pPr>
          <w:pStyle w:val="Footer"/>
          <w:jc w:val="right"/>
          <w:rPr>
            <w:rFonts w:ascii="Garamond" w:hAnsi="Garamond"/>
          </w:rPr>
        </w:pPr>
        <w:r w:rsidRPr="009B5216">
          <w:rPr>
            <w:rFonts w:ascii="Garamond" w:hAnsi="Garamond"/>
          </w:rPr>
          <w:fldChar w:fldCharType="begin"/>
        </w:r>
        <w:r w:rsidRPr="009B5216">
          <w:rPr>
            <w:rFonts w:ascii="Garamond" w:hAnsi="Garamond"/>
          </w:rPr>
          <w:instrText xml:space="preserve"> PAGE   \* MERGEFORMAT </w:instrText>
        </w:r>
        <w:r w:rsidRPr="009B5216">
          <w:rPr>
            <w:rFonts w:ascii="Garamond" w:hAnsi="Garamond"/>
          </w:rPr>
          <w:fldChar w:fldCharType="separate"/>
        </w:r>
        <w:r w:rsidRPr="009B5216">
          <w:rPr>
            <w:rFonts w:ascii="Garamond" w:hAnsi="Garamond"/>
            <w:noProof/>
          </w:rPr>
          <w:t>2</w:t>
        </w:r>
        <w:r w:rsidRPr="009B5216">
          <w:rPr>
            <w:rFonts w:ascii="Garamond" w:hAnsi="Garamond"/>
            <w:noProof/>
          </w:rPr>
          <w:fldChar w:fldCharType="end"/>
        </w:r>
      </w:p>
    </w:sdtContent>
  </w:sdt>
  <w:p w14:paraId="0D5B41C5" w14:textId="77777777" w:rsidR="009462EC" w:rsidRDefault="00946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53228" w14:textId="77777777" w:rsidR="00D144DA" w:rsidRDefault="00D144DA" w:rsidP="00EC2081">
      <w:pPr>
        <w:spacing w:after="0" w:line="240" w:lineRule="auto"/>
      </w:pPr>
      <w:r>
        <w:separator/>
      </w:r>
    </w:p>
  </w:footnote>
  <w:footnote w:type="continuationSeparator" w:id="0">
    <w:p w14:paraId="69B73D34" w14:textId="77777777" w:rsidR="00D144DA" w:rsidRDefault="00D144DA" w:rsidP="00EC2081">
      <w:pPr>
        <w:spacing w:after="0" w:line="240" w:lineRule="auto"/>
      </w:pPr>
      <w:r>
        <w:continuationSeparator/>
      </w:r>
    </w:p>
  </w:footnote>
  <w:footnote w:id="1">
    <w:p w14:paraId="3925F572" w14:textId="659DADC2" w:rsidR="009462EC" w:rsidRPr="009462EC" w:rsidRDefault="009462EC" w:rsidP="009462EC">
      <w:pPr>
        <w:pStyle w:val="FootnoteText"/>
        <w:spacing w:line="360" w:lineRule="auto"/>
        <w:jc w:val="both"/>
        <w:rPr>
          <w:rFonts w:ascii="Garamond" w:hAnsi="Garamond"/>
          <w:lang w:val="en-US"/>
        </w:rPr>
      </w:pPr>
      <w:r w:rsidRPr="009462EC">
        <w:rPr>
          <w:rStyle w:val="FootnoteReference"/>
          <w:rFonts w:ascii="Garamond" w:hAnsi="Garamond"/>
        </w:rPr>
        <w:t>*</w:t>
      </w:r>
      <w:r w:rsidRPr="009462EC">
        <w:rPr>
          <w:rFonts w:ascii="Garamond" w:hAnsi="Garamond"/>
        </w:rPr>
        <w:t xml:space="preserve"> I would like to thank Christos Kyriacou and Genia Schoenbaumsfeld for very helpful comments on previous versions of this paper. While elements of disagreement may remain, I have learnt a lot from them.</w:t>
      </w:r>
    </w:p>
  </w:footnote>
  <w:footnote w:id="2">
    <w:p w14:paraId="7850135B" w14:textId="57637D7E" w:rsidR="009462EC" w:rsidRPr="009462EC" w:rsidRDefault="009462EC" w:rsidP="00FC4B3D">
      <w:pPr>
        <w:pStyle w:val="CommentText"/>
        <w:spacing w:line="360" w:lineRule="auto"/>
        <w:jc w:val="both"/>
        <w:rPr>
          <w:rFonts w:ascii="Garamond" w:hAnsi="Garamond"/>
          <w:sz w:val="20"/>
          <w:szCs w:val="20"/>
        </w:rPr>
      </w:pPr>
      <w:r w:rsidRPr="009462EC">
        <w:rPr>
          <w:rStyle w:val="FootnoteReference"/>
          <w:rFonts w:ascii="Garamond" w:hAnsi="Garamond"/>
          <w:sz w:val="20"/>
          <w:szCs w:val="20"/>
        </w:rPr>
        <w:footnoteRef/>
      </w:r>
      <w:r w:rsidRPr="009462EC">
        <w:rPr>
          <w:rFonts w:ascii="Garamond" w:hAnsi="Garamond"/>
          <w:sz w:val="20"/>
          <w:szCs w:val="20"/>
        </w:rPr>
        <w:t xml:space="preserve"> One might say that given that foundationalism and </w:t>
      </w:r>
      <w:proofErr w:type="spellStart"/>
      <w:r w:rsidRPr="009462EC">
        <w:rPr>
          <w:rFonts w:ascii="Garamond" w:hAnsi="Garamond"/>
          <w:sz w:val="20"/>
          <w:szCs w:val="20"/>
        </w:rPr>
        <w:t>coherentism</w:t>
      </w:r>
      <w:proofErr w:type="spellEnd"/>
      <w:r w:rsidRPr="009462EC">
        <w:rPr>
          <w:rFonts w:ascii="Garamond" w:hAnsi="Garamond"/>
          <w:sz w:val="20"/>
          <w:szCs w:val="20"/>
        </w:rPr>
        <w:t xml:space="preserve"> involve some inherent circularity (and </w:t>
      </w:r>
      <w:proofErr w:type="spellStart"/>
      <w:r w:rsidRPr="009462EC">
        <w:rPr>
          <w:rFonts w:ascii="Garamond" w:hAnsi="Garamond"/>
          <w:sz w:val="20"/>
          <w:szCs w:val="20"/>
        </w:rPr>
        <w:t>infinitism</w:t>
      </w:r>
      <w:proofErr w:type="spellEnd"/>
      <w:r w:rsidRPr="009462EC">
        <w:rPr>
          <w:rFonts w:ascii="Garamond" w:hAnsi="Garamond"/>
          <w:sz w:val="20"/>
          <w:szCs w:val="20"/>
        </w:rPr>
        <w:t xml:space="preserve"> is implausible), some circularity in reasoning is inevitable. Maybe so but notice that the kind of circularity in question would be one in which the existence of physical objects needs to be presupposed in order to have a perceptual justification for “here is a hand”, say. Hence, using that justified premise to try and get a justification for “there are physical objects” with a Moore-style proof would be epistemically bad.</w:t>
      </w:r>
    </w:p>
  </w:footnote>
  <w:footnote w:id="3">
    <w:p w14:paraId="20BC6F22" w14:textId="77777777" w:rsidR="00456245" w:rsidRPr="008E737E" w:rsidRDefault="00456245" w:rsidP="008E737E">
      <w:pPr>
        <w:pStyle w:val="FootnoteText"/>
        <w:spacing w:line="360" w:lineRule="auto"/>
        <w:jc w:val="both"/>
        <w:rPr>
          <w:rFonts w:ascii="Garamond" w:hAnsi="Garamond"/>
          <w:lang w:val="en-US"/>
        </w:rPr>
      </w:pPr>
      <w:r w:rsidRPr="008E737E">
        <w:rPr>
          <w:rStyle w:val="FootnoteReference"/>
          <w:rFonts w:ascii="Garamond" w:hAnsi="Garamond"/>
        </w:rPr>
        <w:footnoteRef/>
      </w:r>
      <w:r w:rsidRPr="008E737E">
        <w:rPr>
          <w:rFonts w:ascii="Garamond" w:hAnsi="Garamond"/>
          <w:lang w:val="en-US"/>
        </w:rPr>
        <w:t xml:space="preserve"> To avoid unnecessary repetitions, I will expand on the non-circularity requirement in the following.</w:t>
      </w:r>
    </w:p>
  </w:footnote>
  <w:footnote w:id="4">
    <w:p w14:paraId="5FAAB144" w14:textId="1897D65C" w:rsidR="00E23218" w:rsidRPr="00FC4B3D" w:rsidRDefault="00E23218" w:rsidP="00FC4B3D">
      <w:pPr>
        <w:pStyle w:val="FootnoteText"/>
        <w:spacing w:line="360" w:lineRule="auto"/>
        <w:jc w:val="both"/>
        <w:rPr>
          <w:lang w:val="en-US"/>
        </w:rPr>
      </w:pPr>
      <w:r>
        <w:rPr>
          <w:rStyle w:val="FootnoteReference"/>
        </w:rPr>
        <w:footnoteRef/>
      </w:r>
      <w:r>
        <w:t xml:space="preserve"> </w:t>
      </w:r>
      <w:r>
        <w:rPr>
          <w:lang w:val="en-US"/>
        </w:rPr>
        <w:t xml:space="preserve">For Wittgenstein ‘know’ is a family resemblance concept. Important remarks on this can be found both in </w:t>
      </w:r>
      <w:r w:rsidRPr="00FC4B3D">
        <w:rPr>
          <w:i/>
          <w:iCs/>
          <w:lang w:val="en-US"/>
        </w:rPr>
        <w:t>On Certainty</w:t>
      </w:r>
      <w:r>
        <w:rPr>
          <w:lang w:val="en-US"/>
        </w:rPr>
        <w:t xml:space="preserve"> and in </w:t>
      </w:r>
      <w:r w:rsidRPr="00FC4B3D">
        <w:rPr>
          <w:i/>
          <w:iCs/>
          <w:lang w:val="en-US"/>
        </w:rPr>
        <w:t>Philosophical Investigations</w:t>
      </w:r>
      <w:r>
        <w:rPr>
          <w:lang w:val="en-US"/>
        </w:rPr>
        <w:t xml:space="preserve"> (Cf. §78, 246-7</w:t>
      </w:r>
      <w:r w:rsidR="00613062">
        <w:rPr>
          <w:lang w:val="en-US"/>
        </w:rPr>
        <w:t>)</w:t>
      </w:r>
      <w:r>
        <w:rPr>
          <w:lang w:val="en-US"/>
        </w:rPr>
        <w:t>.</w:t>
      </w:r>
      <w:r w:rsidR="00613062">
        <w:rPr>
          <w:lang w:val="en-US"/>
        </w:rPr>
        <w:t xml:space="preserve"> I have addressed the issue in </w:t>
      </w:r>
      <w:proofErr w:type="spellStart"/>
      <w:r w:rsidR="00613062">
        <w:rPr>
          <w:lang w:val="en-US"/>
        </w:rPr>
        <w:t>Coliva</w:t>
      </w:r>
      <w:proofErr w:type="spellEnd"/>
      <w:r w:rsidR="00613062">
        <w:rPr>
          <w:lang w:val="en-US"/>
        </w:rPr>
        <w:t xml:space="preserve"> 2020b. He also distinguished between objective and subjective certainty. The former, which is the object of </w:t>
      </w:r>
      <w:r w:rsidR="00613062" w:rsidRPr="00FC4B3D">
        <w:rPr>
          <w:i/>
          <w:iCs/>
          <w:lang w:val="en-US"/>
        </w:rPr>
        <w:t>On Certainty</w:t>
      </w:r>
      <w:r w:rsidR="00613062">
        <w:rPr>
          <w:lang w:val="en-US"/>
        </w:rPr>
        <w:t xml:space="preserve">, is not an epistemic category, for him, but a grammatical one; the latter, in contrast, is a psychological category and </w:t>
      </w:r>
      <w:r w:rsidR="00AF7AF7">
        <w:rPr>
          <w:lang w:val="en-US"/>
        </w:rPr>
        <w:t>has no special philosophical relevance, for him (cf. especially OC 194, 270, 273; see also 15-16, 203).</w:t>
      </w:r>
    </w:p>
  </w:footnote>
  <w:footnote w:id="5">
    <w:p w14:paraId="08FFE563" w14:textId="61FAE501" w:rsidR="007D2058" w:rsidRPr="00FC4B3D" w:rsidRDefault="007D2058" w:rsidP="00FC4B3D">
      <w:pPr>
        <w:pStyle w:val="FootnoteText"/>
        <w:spacing w:line="360" w:lineRule="auto"/>
        <w:jc w:val="both"/>
        <w:rPr>
          <w:lang w:val="en-US"/>
        </w:rPr>
      </w:pPr>
      <w:r>
        <w:rPr>
          <w:rStyle w:val="FootnoteReference"/>
        </w:rPr>
        <w:footnoteRef/>
      </w:r>
      <w:r>
        <w:t xml:space="preserve"> </w:t>
      </w:r>
      <w:r>
        <w:t xml:space="preserve">In the later </w:t>
      </w:r>
      <w:r>
        <w:rPr>
          <w:lang w:val="en-US"/>
        </w:rPr>
        <w:t>Wittgenstein, the adjective “logical” is often synonymous with “grammatical” and should not be conflated with the contemporary understanding of it.</w:t>
      </w:r>
    </w:p>
  </w:footnote>
  <w:footnote w:id="6">
    <w:p w14:paraId="56166801" w14:textId="3DE42F6A" w:rsidR="007D2058" w:rsidRPr="00FC4B3D" w:rsidRDefault="007D2058" w:rsidP="00FC4B3D">
      <w:pPr>
        <w:pStyle w:val="FootnoteText"/>
        <w:spacing w:line="360" w:lineRule="auto"/>
        <w:jc w:val="both"/>
        <w:rPr>
          <w:lang w:val="en-US"/>
        </w:rPr>
      </w:pPr>
      <w:r>
        <w:rPr>
          <w:rStyle w:val="FootnoteReference"/>
        </w:rPr>
        <w:footnoteRef/>
      </w:r>
      <w:r>
        <w:t xml:space="preserve"> </w:t>
      </w:r>
      <w:r>
        <w:rPr>
          <w:lang w:val="en-US"/>
        </w:rPr>
        <w:t>Notice that a grammatical role or function in OC is neither epistemic nor pragmatic, but constitutive of a practice and/or meaning.</w:t>
      </w:r>
    </w:p>
  </w:footnote>
  <w:footnote w:id="7">
    <w:p w14:paraId="78002F3C" w14:textId="77777777" w:rsidR="00456245" w:rsidRPr="000C0166" w:rsidRDefault="00456245" w:rsidP="00F60734">
      <w:pPr>
        <w:pStyle w:val="FootnoteText"/>
        <w:spacing w:line="360" w:lineRule="auto"/>
        <w:rPr>
          <w:rFonts w:ascii="Garamond" w:hAnsi="Garamond" w:cs="Times New Roman"/>
          <w:i/>
          <w:lang w:val="en-US"/>
        </w:rPr>
      </w:pPr>
      <w:r w:rsidRPr="000C0166">
        <w:rPr>
          <w:rStyle w:val="FootnoteReference"/>
          <w:rFonts w:ascii="Garamond" w:hAnsi="Garamond" w:cs="Times New Roman"/>
        </w:rPr>
        <w:footnoteRef/>
      </w:r>
      <w:r w:rsidRPr="000C0166">
        <w:rPr>
          <w:rFonts w:ascii="Garamond" w:hAnsi="Garamond" w:cs="Times New Roman"/>
          <w:lang w:val="en-US"/>
        </w:rPr>
        <w:t xml:space="preserve"> </w:t>
      </w:r>
      <w:r>
        <w:rPr>
          <w:rFonts w:ascii="Garamond" w:hAnsi="Garamond" w:cs="Times New Roman"/>
          <w:lang w:val="en-US"/>
        </w:rPr>
        <w:t xml:space="preserve">As remarked in Wright (1985) and in </w:t>
      </w:r>
      <w:proofErr w:type="spellStart"/>
      <w:r>
        <w:rPr>
          <w:rFonts w:ascii="Garamond" w:hAnsi="Garamond" w:cs="Times New Roman"/>
          <w:lang w:val="en-US"/>
        </w:rPr>
        <w:t>Moyal</w:t>
      </w:r>
      <w:proofErr w:type="spellEnd"/>
      <w:r>
        <w:rPr>
          <w:rFonts w:ascii="Garamond" w:hAnsi="Garamond" w:cs="Times New Roman"/>
          <w:lang w:val="en-US"/>
        </w:rPr>
        <w:t xml:space="preserve">-Sharrock’s (2005), </w:t>
      </w:r>
      <w:r w:rsidRPr="000C0166">
        <w:rPr>
          <w:rFonts w:ascii="Garamond" w:hAnsi="Garamond" w:cs="Times New Roman"/>
          <w:lang w:val="en-US"/>
        </w:rPr>
        <w:t xml:space="preserve">in </w:t>
      </w:r>
      <w:r w:rsidRPr="000C0166">
        <w:rPr>
          <w:rFonts w:ascii="Garamond" w:hAnsi="Garamond" w:cs="Times New Roman"/>
          <w:i/>
          <w:lang w:val="en-US"/>
        </w:rPr>
        <w:t>On Certainty</w:t>
      </w:r>
      <w:r w:rsidRPr="000C0166">
        <w:rPr>
          <w:rFonts w:ascii="Garamond" w:hAnsi="Garamond" w:cs="Times New Roman"/>
          <w:lang w:val="en-US"/>
        </w:rPr>
        <w:t xml:space="preserve"> the notion</w:t>
      </w:r>
      <w:r>
        <w:rPr>
          <w:rFonts w:ascii="Garamond" w:hAnsi="Garamond" w:cs="Times New Roman"/>
          <w:lang w:val="en-US"/>
        </w:rPr>
        <w:t>s</w:t>
      </w:r>
      <w:r w:rsidRPr="000C0166">
        <w:rPr>
          <w:rFonts w:ascii="Garamond" w:hAnsi="Garamond" w:cs="Times New Roman"/>
          <w:lang w:val="en-US"/>
        </w:rPr>
        <w:t xml:space="preserve"> of a rule, as well as that of grammar, are extended to cover not only linguistic norms but also those which we may call “norms of evidential significance”.</w:t>
      </w:r>
    </w:p>
  </w:footnote>
  <w:footnote w:id="8">
    <w:p w14:paraId="3A21005E" w14:textId="77777777" w:rsidR="00456245" w:rsidRPr="005A72E0" w:rsidRDefault="00456245" w:rsidP="005A72E0">
      <w:pPr>
        <w:pStyle w:val="FootnoteText"/>
        <w:spacing w:line="360" w:lineRule="auto"/>
        <w:jc w:val="both"/>
        <w:rPr>
          <w:rFonts w:ascii="Garamond" w:hAnsi="Garamond"/>
          <w:lang w:val="en-US"/>
        </w:rPr>
      </w:pPr>
      <w:r w:rsidRPr="005A72E0">
        <w:rPr>
          <w:rStyle w:val="FootnoteReference"/>
          <w:rFonts w:ascii="Garamond" w:hAnsi="Garamond"/>
        </w:rPr>
        <w:footnoteRef/>
      </w:r>
      <w:r w:rsidRPr="005A72E0">
        <w:rPr>
          <w:rFonts w:ascii="Garamond" w:hAnsi="Garamond"/>
          <w:lang w:val="en-US"/>
        </w:rPr>
        <w:t xml:space="preserve"> I am not considering here a Cartesian skeptical scenario for that is dealt with differently by Wittgenstein.</w:t>
      </w:r>
      <w:r>
        <w:rPr>
          <w:rFonts w:ascii="Garamond" w:hAnsi="Garamond"/>
          <w:lang w:val="en-US"/>
        </w:rPr>
        <w:t xml:space="preserve"> See sect. </w:t>
      </w:r>
      <w:r w:rsidRPr="00C65DEA">
        <w:rPr>
          <w:rFonts w:ascii="Garamond" w:hAnsi="Garamond"/>
          <w:highlight w:val="yellow"/>
          <w:lang w:val="en-US"/>
        </w:rPr>
        <w:t>2</w:t>
      </w:r>
      <w:r>
        <w:rPr>
          <w:rFonts w:ascii="Garamond" w:hAnsi="Garamond"/>
          <w:lang w:val="en-US"/>
        </w:rPr>
        <w:t>.</w:t>
      </w:r>
    </w:p>
  </w:footnote>
  <w:footnote w:id="9">
    <w:p w14:paraId="1F17DB76" w14:textId="77777777" w:rsidR="00456245" w:rsidRPr="00016933" w:rsidRDefault="00456245" w:rsidP="00016933">
      <w:pPr>
        <w:spacing w:line="360" w:lineRule="auto"/>
        <w:jc w:val="both"/>
        <w:rPr>
          <w:rFonts w:ascii="Garamond" w:hAnsi="Garamond"/>
          <w:sz w:val="20"/>
          <w:szCs w:val="20"/>
        </w:rPr>
      </w:pPr>
      <w:r w:rsidRPr="00016933">
        <w:rPr>
          <w:rStyle w:val="FootnoteReference"/>
          <w:rFonts w:ascii="Garamond" w:hAnsi="Garamond"/>
          <w:sz w:val="20"/>
          <w:szCs w:val="20"/>
        </w:rPr>
        <w:footnoteRef/>
      </w:r>
      <w:r w:rsidRPr="00016933">
        <w:rPr>
          <w:rFonts w:ascii="Garamond" w:hAnsi="Garamond"/>
          <w:sz w:val="20"/>
          <w:szCs w:val="20"/>
        </w:rPr>
        <w:t xml:space="preserve"> This is the gist of therapeutic proposals. In this vein, Penelope Maddy (2017, p. 200) takes Wittgenstein to be proposing a “sadly crimped view” of philosophy, which would consist simply in bringing us back to common sense, and the ordinary use of “I know”, after catching the philosophical disease. In </w:t>
      </w:r>
      <w:proofErr w:type="spellStart"/>
      <w:r w:rsidRPr="00016933">
        <w:rPr>
          <w:rFonts w:ascii="Garamond" w:hAnsi="Garamond"/>
          <w:sz w:val="20"/>
          <w:szCs w:val="20"/>
        </w:rPr>
        <w:t>Coliva</w:t>
      </w:r>
      <w:proofErr w:type="spellEnd"/>
      <w:r w:rsidRPr="00016933">
        <w:rPr>
          <w:rFonts w:ascii="Garamond" w:hAnsi="Garamond"/>
          <w:sz w:val="20"/>
          <w:szCs w:val="20"/>
        </w:rPr>
        <w:t xml:space="preserve"> (2020b), I contend </w:t>
      </w:r>
      <w:r>
        <w:rPr>
          <w:rFonts w:ascii="Garamond" w:hAnsi="Garamond"/>
          <w:sz w:val="20"/>
          <w:szCs w:val="20"/>
        </w:rPr>
        <w:t xml:space="preserve">that </w:t>
      </w:r>
      <w:r w:rsidRPr="00016933">
        <w:rPr>
          <w:rFonts w:ascii="Garamond" w:hAnsi="Garamond"/>
          <w:sz w:val="20"/>
          <w:szCs w:val="20"/>
        </w:rPr>
        <w:t xml:space="preserve">therapeutic readings have arguably misunderstood the aim and scope of “therapy” in Wittgenstein’s later writings. </w:t>
      </w:r>
    </w:p>
  </w:footnote>
  <w:footnote w:id="10">
    <w:p w14:paraId="714AF204" w14:textId="77777777" w:rsidR="00456245" w:rsidRPr="00F52C4B" w:rsidRDefault="00456245" w:rsidP="00F52C4B">
      <w:pPr>
        <w:pStyle w:val="FootnoteText"/>
        <w:spacing w:line="360" w:lineRule="auto"/>
        <w:jc w:val="both"/>
        <w:rPr>
          <w:rFonts w:ascii="Garamond" w:hAnsi="Garamond"/>
          <w:lang w:val="en-US"/>
        </w:rPr>
      </w:pPr>
      <w:r w:rsidRPr="00F52C4B">
        <w:rPr>
          <w:rStyle w:val="FootnoteReference"/>
          <w:rFonts w:ascii="Garamond" w:hAnsi="Garamond"/>
        </w:rPr>
        <w:footnoteRef/>
      </w:r>
      <w:r w:rsidRPr="00F52C4B">
        <w:rPr>
          <w:rFonts w:ascii="Garamond" w:hAnsi="Garamond"/>
          <w:lang w:val="en-US"/>
        </w:rPr>
        <w:t xml:space="preserve"> </w:t>
      </w:r>
      <w:proofErr w:type="gramStart"/>
      <w:r w:rsidRPr="00F52C4B">
        <w:rPr>
          <w:rFonts w:ascii="Garamond" w:hAnsi="Garamond"/>
          <w:lang w:val="en-US"/>
        </w:rPr>
        <w:t>Actually, in</w:t>
      </w:r>
      <w:proofErr w:type="gramEnd"/>
      <w:r w:rsidRPr="00F52C4B">
        <w:rPr>
          <w:rFonts w:ascii="Garamond" w:hAnsi="Garamond"/>
          <w:lang w:val="en-US"/>
        </w:rPr>
        <w:t xml:space="preserve"> the </w:t>
      </w:r>
      <w:r w:rsidRPr="00F52C4B">
        <w:rPr>
          <w:rFonts w:ascii="Garamond" w:hAnsi="Garamond"/>
          <w:i/>
          <w:lang w:val="en-US"/>
        </w:rPr>
        <w:t>Philosophical Investigations</w:t>
      </w:r>
      <w:r w:rsidRPr="00F52C4B">
        <w:rPr>
          <w:rFonts w:ascii="Garamond" w:hAnsi="Garamond"/>
          <w:lang w:val="en-US"/>
        </w:rPr>
        <w:t xml:space="preserve"> Wittgenstein had already developed several of these considerations regarding various uses of “I know”. One should read the passages on the possibility of knowing other minds and the impossibility of self-knowledge understood as a sure-fired way of epistemically knowing one’s own sensations and on-going propositional attitudes </w:t>
      </w:r>
      <w:proofErr w:type="gramStart"/>
      <w:r w:rsidRPr="00F52C4B">
        <w:rPr>
          <w:rFonts w:ascii="Garamond" w:hAnsi="Garamond"/>
          <w:lang w:val="en-US"/>
        </w:rPr>
        <w:t>in light of</w:t>
      </w:r>
      <w:proofErr w:type="gramEnd"/>
      <w:r w:rsidRPr="00F52C4B">
        <w:rPr>
          <w:rFonts w:ascii="Garamond" w:hAnsi="Garamond"/>
          <w:lang w:val="en-US"/>
        </w:rPr>
        <w:t xml:space="preserve"> this tripartite distinction.</w:t>
      </w:r>
      <w:r>
        <w:rPr>
          <w:rFonts w:ascii="Garamond" w:hAnsi="Garamond"/>
          <w:lang w:val="en-US"/>
        </w:rPr>
        <w:t xml:space="preserve"> For a discussion, cf. </w:t>
      </w:r>
      <w:proofErr w:type="spellStart"/>
      <w:r>
        <w:rPr>
          <w:rFonts w:ascii="Garamond" w:hAnsi="Garamond"/>
          <w:lang w:val="en-US"/>
        </w:rPr>
        <w:t>Coliva</w:t>
      </w:r>
      <w:proofErr w:type="spellEnd"/>
      <w:r>
        <w:rPr>
          <w:rFonts w:ascii="Garamond" w:hAnsi="Garamond"/>
          <w:lang w:val="en-US"/>
        </w:rPr>
        <w:t xml:space="preserve"> (2010, </w:t>
      </w:r>
      <w:proofErr w:type="spellStart"/>
      <w:r>
        <w:rPr>
          <w:rFonts w:ascii="Garamond" w:hAnsi="Garamond"/>
          <w:lang w:val="en-US"/>
        </w:rPr>
        <w:t>ch.</w:t>
      </w:r>
      <w:proofErr w:type="spellEnd"/>
      <w:r>
        <w:rPr>
          <w:rFonts w:ascii="Garamond" w:hAnsi="Garamond"/>
          <w:lang w:val="en-US"/>
        </w:rPr>
        <w:t xml:space="preserve"> 2).</w:t>
      </w:r>
    </w:p>
  </w:footnote>
  <w:footnote w:id="11">
    <w:p w14:paraId="63336D7A" w14:textId="77777777" w:rsidR="00456245" w:rsidRPr="00F57493" w:rsidRDefault="00456245" w:rsidP="00F57493">
      <w:pPr>
        <w:pStyle w:val="FootnoteText"/>
        <w:spacing w:line="360" w:lineRule="auto"/>
        <w:jc w:val="both"/>
        <w:rPr>
          <w:rFonts w:ascii="Garamond" w:hAnsi="Garamond"/>
          <w:lang w:val="en-US"/>
        </w:rPr>
      </w:pPr>
      <w:r w:rsidRPr="00F57493">
        <w:rPr>
          <w:rStyle w:val="FootnoteReference"/>
          <w:rFonts w:ascii="Garamond" w:hAnsi="Garamond"/>
        </w:rPr>
        <w:footnoteRef/>
      </w:r>
      <w:r w:rsidRPr="00F57493">
        <w:rPr>
          <w:rFonts w:ascii="Garamond" w:hAnsi="Garamond"/>
          <w:lang w:val="en-US"/>
        </w:rPr>
        <w:t xml:space="preserve"> See, for an example of the former option </w:t>
      </w:r>
      <w:r w:rsidRPr="00EE0FFE">
        <w:rPr>
          <w:rFonts w:ascii="Garamond" w:hAnsi="Garamond"/>
          <w:lang w:val="en-US"/>
        </w:rPr>
        <w:t>DeRose (1995);</w:t>
      </w:r>
      <w:r w:rsidRPr="00F57493">
        <w:rPr>
          <w:rFonts w:ascii="Garamond" w:hAnsi="Garamond"/>
          <w:lang w:val="en-US"/>
        </w:rPr>
        <w:t xml:space="preserve"> and MacFarlane </w:t>
      </w:r>
      <w:r>
        <w:rPr>
          <w:rFonts w:ascii="Garamond" w:hAnsi="Garamond"/>
          <w:lang w:val="en-US"/>
        </w:rPr>
        <w:t>(</w:t>
      </w:r>
      <w:r w:rsidRPr="00F57493">
        <w:rPr>
          <w:rFonts w:ascii="Garamond" w:hAnsi="Garamond"/>
          <w:lang w:val="en-US"/>
        </w:rPr>
        <w:t>2014</w:t>
      </w:r>
      <w:r>
        <w:rPr>
          <w:rFonts w:ascii="Garamond" w:hAnsi="Garamond"/>
          <w:lang w:val="en-US"/>
        </w:rPr>
        <w:t>)</w:t>
      </w:r>
      <w:r w:rsidRPr="00F57493">
        <w:rPr>
          <w:rFonts w:ascii="Garamond" w:hAnsi="Garamond"/>
          <w:lang w:val="en-US"/>
        </w:rPr>
        <w:t xml:space="preserve"> for an example of the latter.</w:t>
      </w:r>
    </w:p>
  </w:footnote>
  <w:footnote w:id="12">
    <w:p w14:paraId="46FBBC0F" w14:textId="77777777" w:rsidR="00456245" w:rsidRPr="0002085C" w:rsidRDefault="00456245" w:rsidP="0002085C">
      <w:pPr>
        <w:pStyle w:val="FootnoteText"/>
        <w:spacing w:line="360" w:lineRule="auto"/>
        <w:jc w:val="both"/>
        <w:rPr>
          <w:rFonts w:ascii="Garamond" w:hAnsi="Garamond"/>
          <w:lang w:val="en-US"/>
        </w:rPr>
      </w:pPr>
      <w:r w:rsidRPr="0002085C">
        <w:rPr>
          <w:rStyle w:val="FootnoteReference"/>
          <w:rFonts w:ascii="Garamond" w:hAnsi="Garamond"/>
        </w:rPr>
        <w:footnoteRef/>
      </w:r>
      <w:r w:rsidRPr="0002085C">
        <w:rPr>
          <w:rFonts w:ascii="Garamond" w:hAnsi="Garamond"/>
          <w:lang w:val="en-US"/>
        </w:rPr>
        <w:t xml:space="preserve"> For a fuller treatment</w:t>
      </w:r>
      <w:r>
        <w:rPr>
          <w:rFonts w:ascii="Garamond" w:hAnsi="Garamond"/>
          <w:lang w:val="en-US"/>
        </w:rPr>
        <w:t xml:space="preserve"> of Wittgenstein’s anti-skeptical strategies</w:t>
      </w:r>
      <w:r w:rsidRPr="0002085C">
        <w:rPr>
          <w:rFonts w:ascii="Garamond" w:hAnsi="Garamond"/>
          <w:lang w:val="en-US"/>
        </w:rPr>
        <w:t xml:space="preserve">, see </w:t>
      </w:r>
      <w:proofErr w:type="spellStart"/>
      <w:r w:rsidRPr="0002085C">
        <w:rPr>
          <w:rFonts w:ascii="Garamond" w:hAnsi="Garamond"/>
          <w:lang w:val="en-US"/>
        </w:rPr>
        <w:t>Coliva</w:t>
      </w:r>
      <w:proofErr w:type="spellEnd"/>
      <w:r w:rsidRPr="0002085C">
        <w:rPr>
          <w:rFonts w:ascii="Garamond" w:hAnsi="Garamond"/>
          <w:lang w:val="en-US"/>
        </w:rPr>
        <w:t xml:space="preserve"> (2010, chapter 3).</w:t>
      </w:r>
    </w:p>
  </w:footnote>
  <w:footnote w:id="13">
    <w:p w14:paraId="426A6404" w14:textId="77777777" w:rsidR="00456245" w:rsidRPr="009B5216" w:rsidRDefault="00456245" w:rsidP="00FC4B3D">
      <w:pPr>
        <w:pStyle w:val="FootnoteText"/>
        <w:spacing w:line="360" w:lineRule="auto"/>
        <w:jc w:val="both"/>
        <w:rPr>
          <w:rFonts w:ascii="Garamond" w:hAnsi="Garamond" w:cs="Times New Roman"/>
          <w:lang w:val="en-US"/>
        </w:rPr>
      </w:pPr>
      <w:r w:rsidRPr="000C0166">
        <w:rPr>
          <w:rStyle w:val="FootnoteReference"/>
          <w:rFonts w:ascii="Garamond" w:hAnsi="Garamond" w:cs="Times New Roman"/>
        </w:rPr>
        <w:footnoteRef/>
      </w:r>
      <w:r w:rsidRPr="000C0166">
        <w:rPr>
          <w:rFonts w:ascii="Garamond" w:hAnsi="Garamond" w:cs="Times New Roman"/>
          <w:lang w:val="en-US"/>
        </w:rPr>
        <w:t xml:space="preserve"> Cf. Conant </w:t>
      </w:r>
      <w:r>
        <w:rPr>
          <w:rFonts w:ascii="Garamond" w:hAnsi="Garamond" w:cs="Times New Roman"/>
          <w:lang w:val="en-US"/>
        </w:rPr>
        <w:t>(</w:t>
      </w:r>
      <w:r w:rsidRPr="000C0166">
        <w:rPr>
          <w:rFonts w:ascii="Garamond" w:hAnsi="Garamond" w:cs="Times New Roman"/>
          <w:lang w:val="en-US"/>
        </w:rPr>
        <w:t>1998</w:t>
      </w:r>
      <w:r>
        <w:rPr>
          <w:rFonts w:ascii="Garamond" w:hAnsi="Garamond" w:cs="Times New Roman"/>
          <w:lang w:val="en-US"/>
        </w:rPr>
        <w:t>)</w:t>
      </w:r>
      <w:r w:rsidRPr="000C0166">
        <w:rPr>
          <w:rFonts w:ascii="Garamond" w:hAnsi="Garamond" w:cs="Times New Roman"/>
          <w:lang w:val="en-US"/>
        </w:rPr>
        <w:t>.</w:t>
      </w:r>
      <w:r>
        <w:rPr>
          <w:rFonts w:ascii="Garamond" w:hAnsi="Garamond" w:cs="Times New Roman"/>
          <w:lang w:val="en-US"/>
        </w:rPr>
        <w:t xml:space="preserve"> OC 347-360 is a sequence of passages that clearly brings out Wittgenstein’s resolute attitude towards </w:t>
      </w:r>
      <w:r w:rsidRPr="009B5216">
        <w:rPr>
          <w:rFonts w:ascii="Garamond" w:hAnsi="Garamond" w:cs="Times New Roman"/>
          <w:lang w:val="en-US"/>
        </w:rPr>
        <w:t>philosophical uses of “I know” and towards philosophical forms of doubt.</w:t>
      </w:r>
    </w:p>
  </w:footnote>
  <w:footnote w:id="14">
    <w:p w14:paraId="7B73D97F" w14:textId="6EEE7860" w:rsidR="00203268" w:rsidRPr="00FC4B3D" w:rsidRDefault="00203268" w:rsidP="00FC4B3D">
      <w:pPr>
        <w:pStyle w:val="FootnoteText"/>
        <w:spacing w:line="360" w:lineRule="auto"/>
        <w:jc w:val="both"/>
        <w:rPr>
          <w:lang w:val="en-US"/>
        </w:rPr>
      </w:pPr>
      <w:r w:rsidRPr="009B5216">
        <w:rPr>
          <w:rStyle w:val="FootnoteReference"/>
          <w:rFonts w:ascii="Garamond" w:hAnsi="Garamond"/>
        </w:rPr>
        <w:footnoteRef/>
      </w:r>
      <w:r w:rsidRPr="009B5216">
        <w:rPr>
          <w:rFonts w:ascii="Garamond" w:hAnsi="Garamond"/>
        </w:rPr>
        <w:t xml:space="preserve"> </w:t>
      </w:r>
      <w:r w:rsidRPr="009B5216">
        <w:rPr>
          <w:rFonts w:ascii="Garamond" w:hAnsi="Garamond"/>
          <w:lang w:val="en-US"/>
        </w:rPr>
        <w:t xml:space="preserve">Notice that this is entirely compatible with the fact that these practices may change due to social pressures of various nature (e.g. scientific, political, etc.). Wittgenstein’s descriptivism, therefore, need not be in the service of the defense of any </w:t>
      </w:r>
      <w:r w:rsidRPr="009B5216">
        <w:rPr>
          <w:rFonts w:ascii="Garamond" w:hAnsi="Garamond"/>
          <w:i/>
          <w:iCs/>
          <w:lang w:val="en-US"/>
        </w:rPr>
        <w:t>status quo</w:t>
      </w:r>
      <w:r w:rsidRPr="009B5216">
        <w:rPr>
          <w:rFonts w:ascii="Garamond" w:hAnsi="Garamond"/>
          <w:lang w:val="en-US"/>
        </w:rPr>
        <w:t>. It is just that these changes are not typically brought about by philosophy</w:t>
      </w:r>
      <w:r w:rsidR="00E774B3" w:rsidRPr="009B5216">
        <w:rPr>
          <w:rFonts w:ascii="Garamond" w:hAnsi="Garamond"/>
          <w:lang w:val="en-US"/>
        </w:rPr>
        <w:t xml:space="preserve"> itself.</w:t>
      </w:r>
    </w:p>
  </w:footnote>
  <w:footnote w:id="15">
    <w:p w14:paraId="068BBBC2" w14:textId="77777777" w:rsidR="00456245" w:rsidRPr="007E299C" w:rsidRDefault="00456245" w:rsidP="007E299C">
      <w:pPr>
        <w:pStyle w:val="FootnoteText"/>
        <w:spacing w:line="360" w:lineRule="auto"/>
        <w:jc w:val="both"/>
        <w:rPr>
          <w:rFonts w:ascii="Garamond" w:hAnsi="Garamond"/>
          <w:lang w:val="en-US"/>
        </w:rPr>
      </w:pPr>
      <w:r w:rsidRPr="007E299C">
        <w:rPr>
          <w:rStyle w:val="FootnoteReference"/>
          <w:rFonts w:ascii="Garamond" w:hAnsi="Garamond"/>
        </w:rPr>
        <w:footnoteRef/>
      </w:r>
      <w:r w:rsidRPr="007E299C">
        <w:rPr>
          <w:rFonts w:ascii="Garamond" w:hAnsi="Garamond"/>
          <w:lang w:val="en-US"/>
        </w:rPr>
        <w:t xml:space="preserve"> At least according to standard “framework” interpretations of Wittgenstein’s views, such as </w:t>
      </w:r>
      <w:r>
        <w:rPr>
          <w:rFonts w:ascii="Garamond" w:hAnsi="Garamond"/>
          <w:lang w:val="en-US"/>
        </w:rPr>
        <w:t xml:space="preserve">McGinn (1989), </w:t>
      </w:r>
      <w:proofErr w:type="spellStart"/>
      <w:r w:rsidRPr="007E299C">
        <w:rPr>
          <w:rFonts w:ascii="Garamond" w:hAnsi="Garamond"/>
          <w:lang w:val="en-US"/>
        </w:rPr>
        <w:t>Moyal</w:t>
      </w:r>
      <w:proofErr w:type="spellEnd"/>
      <w:r w:rsidRPr="007E299C">
        <w:rPr>
          <w:rFonts w:ascii="Garamond" w:hAnsi="Garamond"/>
          <w:lang w:val="en-US"/>
        </w:rPr>
        <w:t xml:space="preserve">-Sharrock (2005), </w:t>
      </w:r>
      <w:proofErr w:type="spellStart"/>
      <w:r w:rsidRPr="007E299C">
        <w:rPr>
          <w:rFonts w:ascii="Garamond" w:hAnsi="Garamond"/>
          <w:lang w:val="en-US"/>
        </w:rPr>
        <w:t>Coliva</w:t>
      </w:r>
      <w:proofErr w:type="spellEnd"/>
      <w:r w:rsidRPr="007E299C">
        <w:rPr>
          <w:rFonts w:ascii="Garamond" w:hAnsi="Garamond"/>
          <w:lang w:val="en-US"/>
        </w:rPr>
        <w:t xml:space="preserve"> (2010). Alternatively, grammatical uses would still be truth-apt, but their truth would neither depend on their correspondence with a </w:t>
      </w:r>
      <w:proofErr w:type="gramStart"/>
      <w:r w:rsidRPr="007E299C">
        <w:rPr>
          <w:rFonts w:ascii="Garamond" w:hAnsi="Garamond"/>
          <w:lang w:val="en-US"/>
        </w:rPr>
        <w:t>certain state of affairs, nor</w:t>
      </w:r>
      <w:proofErr w:type="gramEnd"/>
      <w:r w:rsidRPr="007E299C">
        <w:rPr>
          <w:rFonts w:ascii="Garamond" w:hAnsi="Garamond"/>
          <w:lang w:val="en-US"/>
        </w:rPr>
        <w:t xml:space="preserve"> on there being conclusive evidence in their favor. I have dealt at length with these issues in </w:t>
      </w:r>
      <w:proofErr w:type="spellStart"/>
      <w:r w:rsidRPr="00293A94">
        <w:rPr>
          <w:rFonts w:ascii="Garamond" w:hAnsi="Garamond"/>
          <w:lang w:val="en-US"/>
        </w:rPr>
        <w:t>Coliva</w:t>
      </w:r>
      <w:proofErr w:type="spellEnd"/>
      <w:r w:rsidRPr="00293A94">
        <w:rPr>
          <w:rFonts w:ascii="Garamond" w:hAnsi="Garamond"/>
          <w:lang w:val="en-US"/>
        </w:rPr>
        <w:t xml:space="preserve"> (2018).</w:t>
      </w:r>
    </w:p>
  </w:footnote>
  <w:footnote w:id="16">
    <w:p w14:paraId="39AEADD6" w14:textId="77777777" w:rsidR="00456245" w:rsidRPr="006A3F1A" w:rsidRDefault="00456245" w:rsidP="006A3F1A">
      <w:pPr>
        <w:pStyle w:val="FootnoteText"/>
        <w:spacing w:line="360" w:lineRule="auto"/>
        <w:jc w:val="both"/>
        <w:rPr>
          <w:rFonts w:ascii="Garamond" w:hAnsi="Garamond"/>
          <w:lang w:val="en-US"/>
        </w:rPr>
      </w:pPr>
      <w:r w:rsidRPr="006A3F1A">
        <w:rPr>
          <w:rStyle w:val="FootnoteReference"/>
          <w:rFonts w:ascii="Garamond" w:hAnsi="Garamond"/>
        </w:rPr>
        <w:footnoteRef/>
      </w:r>
      <w:r w:rsidRPr="006A3F1A">
        <w:rPr>
          <w:rFonts w:ascii="Garamond" w:hAnsi="Garamond"/>
          <w:lang w:val="en-US"/>
        </w:rPr>
        <w:t xml:space="preserve"> I have discussed Williams and Wright’s epistemic readings of </w:t>
      </w:r>
      <w:r w:rsidRPr="006A3F1A">
        <w:rPr>
          <w:rFonts w:ascii="Garamond" w:hAnsi="Garamond"/>
          <w:i/>
          <w:lang w:val="en-US"/>
        </w:rPr>
        <w:t>On Certainty</w:t>
      </w:r>
      <w:r w:rsidRPr="006A3F1A">
        <w:rPr>
          <w:rFonts w:ascii="Garamond" w:hAnsi="Garamond"/>
          <w:lang w:val="en-US"/>
        </w:rPr>
        <w:t xml:space="preserve"> at length in </w:t>
      </w:r>
      <w:proofErr w:type="spellStart"/>
      <w:r w:rsidRPr="006A3F1A">
        <w:rPr>
          <w:rFonts w:ascii="Garamond" w:hAnsi="Garamond"/>
          <w:lang w:val="en-US"/>
        </w:rPr>
        <w:t>Coliva</w:t>
      </w:r>
      <w:proofErr w:type="spellEnd"/>
      <w:r w:rsidRPr="006A3F1A">
        <w:rPr>
          <w:rFonts w:ascii="Garamond" w:hAnsi="Garamond"/>
          <w:lang w:val="en-US"/>
        </w:rPr>
        <w:t xml:space="preserve"> </w:t>
      </w:r>
      <w:r>
        <w:rPr>
          <w:rFonts w:ascii="Garamond" w:hAnsi="Garamond"/>
          <w:lang w:val="en-US"/>
        </w:rPr>
        <w:t>2019, 2020a.</w:t>
      </w:r>
    </w:p>
  </w:footnote>
  <w:footnote w:id="17">
    <w:p w14:paraId="7D4FB298" w14:textId="77777777" w:rsidR="00456245" w:rsidRPr="000C0166" w:rsidRDefault="00456245" w:rsidP="000C0166">
      <w:pPr>
        <w:pStyle w:val="FootnoteText"/>
        <w:spacing w:line="360" w:lineRule="auto"/>
        <w:rPr>
          <w:rFonts w:ascii="Garamond" w:hAnsi="Garamond" w:cs="Times New Roman"/>
          <w:lang w:val="en-US"/>
        </w:rPr>
      </w:pPr>
      <w:r w:rsidRPr="000C0166">
        <w:rPr>
          <w:rStyle w:val="FootnoteReference"/>
          <w:rFonts w:ascii="Garamond" w:hAnsi="Garamond" w:cs="Times New Roman"/>
        </w:rPr>
        <w:footnoteRef/>
      </w:r>
      <w:r w:rsidRPr="000C0166">
        <w:rPr>
          <w:rFonts w:ascii="Garamond" w:hAnsi="Garamond" w:cs="Times New Roman"/>
          <w:lang w:val="en-US"/>
        </w:rPr>
        <w:t xml:space="preserve"> Further reasons of discontent can be found in </w:t>
      </w:r>
      <w:proofErr w:type="spellStart"/>
      <w:r w:rsidRPr="000C0166">
        <w:rPr>
          <w:rFonts w:ascii="Garamond" w:hAnsi="Garamond" w:cs="Times New Roman"/>
          <w:lang w:val="en-US"/>
        </w:rPr>
        <w:t>Coliva</w:t>
      </w:r>
      <w:proofErr w:type="spellEnd"/>
      <w:r w:rsidRPr="000C0166">
        <w:rPr>
          <w:rFonts w:ascii="Garamond" w:hAnsi="Garamond" w:cs="Times New Roman"/>
          <w:lang w:val="en-US"/>
        </w:rPr>
        <w:t xml:space="preserve"> 2010, chapter 3.</w:t>
      </w:r>
    </w:p>
  </w:footnote>
  <w:footnote w:id="18">
    <w:p w14:paraId="758378D6" w14:textId="72769529" w:rsidR="00456245" w:rsidRPr="000C0166" w:rsidRDefault="00456245" w:rsidP="000C0166">
      <w:pPr>
        <w:pStyle w:val="FootnoteText"/>
        <w:spacing w:line="360" w:lineRule="auto"/>
        <w:rPr>
          <w:rFonts w:ascii="Garamond" w:hAnsi="Garamond" w:cs="Times New Roman"/>
          <w:lang w:val="en-US"/>
        </w:rPr>
      </w:pPr>
      <w:r w:rsidRPr="000C0166">
        <w:rPr>
          <w:rStyle w:val="FootnoteReference"/>
          <w:rFonts w:ascii="Garamond" w:hAnsi="Garamond" w:cs="Times New Roman"/>
        </w:rPr>
        <w:footnoteRef/>
      </w:r>
      <w:r w:rsidRPr="000C0166">
        <w:rPr>
          <w:rFonts w:ascii="Garamond" w:hAnsi="Garamond" w:cs="Times New Roman"/>
          <w:lang w:val="en-US"/>
        </w:rPr>
        <w:t xml:space="preserve"> Unsurprisingly Travis (1989, </w:t>
      </w:r>
      <w:r>
        <w:rPr>
          <w:rFonts w:ascii="Garamond" w:hAnsi="Garamond" w:cs="Times New Roman"/>
          <w:lang w:val="en-US"/>
        </w:rPr>
        <w:t xml:space="preserve">pp. </w:t>
      </w:r>
      <w:r w:rsidRPr="000C0166">
        <w:rPr>
          <w:rFonts w:ascii="Garamond" w:hAnsi="Garamond" w:cs="Times New Roman"/>
          <w:lang w:val="en-US"/>
        </w:rPr>
        <w:t xml:space="preserve">234-5) and Williams (2004a, b) deny, citing no passage in </w:t>
      </w:r>
      <w:r w:rsidRPr="000C0166">
        <w:rPr>
          <w:rFonts w:ascii="Garamond" w:hAnsi="Garamond" w:cs="Times New Roman"/>
          <w:i/>
          <w:lang w:val="en-US"/>
        </w:rPr>
        <w:t>On Certainty</w:t>
      </w:r>
      <w:r w:rsidRPr="000C0166">
        <w:rPr>
          <w:rFonts w:ascii="Garamond" w:hAnsi="Garamond" w:cs="Times New Roman"/>
          <w:lang w:val="en-US"/>
        </w:rPr>
        <w:t>, that hinges are norms.</w:t>
      </w:r>
    </w:p>
  </w:footnote>
  <w:footnote w:id="19">
    <w:p w14:paraId="4FBFA141" w14:textId="77777777" w:rsidR="00456245" w:rsidRPr="000C0166" w:rsidRDefault="00456245" w:rsidP="000C0166">
      <w:pPr>
        <w:spacing w:after="0" w:line="360" w:lineRule="auto"/>
        <w:rPr>
          <w:rFonts w:ascii="Garamond" w:hAnsi="Garamond" w:cs="Times New Roman"/>
          <w:sz w:val="20"/>
          <w:szCs w:val="20"/>
        </w:rPr>
      </w:pPr>
      <w:r w:rsidRPr="000C0166">
        <w:rPr>
          <w:rStyle w:val="FootnoteReference"/>
          <w:rFonts w:ascii="Garamond" w:hAnsi="Garamond" w:cs="Times New Roman"/>
          <w:sz w:val="20"/>
          <w:szCs w:val="20"/>
        </w:rPr>
        <w:footnoteRef/>
      </w:r>
      <w:r w:rsidRPr="000C0166">
        <w:rPr>
          <w:rFonts w:ascii="Garamond" w:hAnsi="Garamond" w:cs="Times New Roman"/>
          <w:sz w:val="20"/>
          <w:szCs w:val="20"/>
        </w:rPr>
        <w:t xml:space="preserve"> Williams simply ignores Wittgenstein’s suggestion that there are “grammatical” uses of “I know” and takes them to show that Wittgenstein favored an </w:t>
      </w:r>
      <w:r w:rsidRPr="000C0166">
        <w:rPr>
          <w:rFonts w:ascii="Garamond" w:hAnsi="Garamond" w:cs="Times New Roman"/>
          <w:i/>
          <w:sz w:val="20"/>
          <w:szCs w:val="20"/>
        </w:rPr>
        <w:t>externalist</w:t>
      </w:r>
      <w:r w:rsidRPr="000C0166">
        <w:rPr>
          <w:rFonts w:ascii="Garamond" w:hAnsi="Garamond" w:cs="Times New Roman"/>
          <w:sz w:val="20"/>
          <w:szCs w:val="20"/>
        </w:rPr>
        <w:t xml:space="preserve"> view of knowledge, whereby one may have knowledge of P even if unable to articulate grounds in its favor, provided one were entitled to it. Another possible source of Williams’ confusion is the fact that sometimes Wittgenstein considers practical, non-propositional knowledge for which it is obviously unnecessary to be able to offer reasons, which would prove that one knows.</w:t>
      </w:r>
    </w:p>
  </w:footnote>
  <w:footnote w:id="20">
    <w:p w14:paraId="059A09AB" w14:textId="77777777" w:rsidR="00456245" w:rsidRPr="004605DF" w:rsidRDefault="00456245" w:rsidP="004605DF">
      <w:pPr>
        <w:pStyle w:val="FootnoteText"/>
        <w:spacing w:line="360" w:lineRule="auto"/>
        <w:jc w:val="both"/>
        <w:rPr>
          <w:rFonts w:ascii="Garamond" w:hAnsi="Garamond"/>
          <w:lang w:val="en-US"/>
        </w:rPr>
      </w:pPr>
      <w:r w:rsidRPr="004605DF">
        <w:rPr>
          <w:rStyle w:val="FootnoteReference"/>
          <w:rFonts w:ascii="Garamond" w:hAnsi="Garamond"/>
        </w:rPr>
        <w:footnoteRef/>
      </w:r>
      <w:r w:rsidRPr="004605DF">
        <w:rPr>
          <w:rFonts w:ascii="Garamond" w:hAnsi="Garamond"/>
          <w:lang w:val="en-US"/>
        </w:rPr>
        <w:t xml:space="preserve"> See Pritchard </w:t>
      </w:r>
      <w:r>
        <w:rPr>
          <w:rFonts w:ascii="Garamond" w:hAnsi="Garamond"/>
          <w:lang w:val="en-US"/>
        </w:rPr>
        <w:t>(</w:t>
      </w:r>
      <w:r w:rsidRPr="004605DF">
        <w:rPr>
          <w:rFonts w:ascii="Garamond" w:hAnsi="Garamond"/>
          <w:lang w:val="en-US"/>
        </w:rPr>
        <w:t>2016</w:t>
      </w:r>
      <w:r>
        <w:rPr>
          <w:rFonts w:ascii="Garamond" w:hAnsi="Garamond"/>
          <w:lang w:val="en-US"/>
        </w:rPr>
        <w:t>)</w:t>
      </w:r>
      <w:r w:rsidRPr="004605DF">
        <w:rPr>
          <w:rFonts w:ascii="Garamond" w:hAnsi="Garamond"/>
          <w:lang w:val="en-US"/>
        </w:rPr>
        <w:t xml:space="preserve"> and </w:t>
      </w:r>
      <w:proofErr w:type="spellStart"/>
      <w:r w:rsidRPr="004605DF">
        <w:rPr>
          <w:rFonts w:ascii="Garamond" w:hAnsi="Garamond"/>
          <w:lang w:val="en-US"/>
        </w:rPr>
        <w:t>Sch</w:t>
      </w:r>
      <w:r>
        <w:rPr>
          <w:rFonts w:ascii="Garamond" w:hAnsi="Garamond"/>
          <w:lang w:val="en-US"/>
        </w:rPr>
        <w:t>önbaumsfeld</w:t>
      </w:r>
      <w:proofErr w:type="spellEnd"/>
      <w:r w:rsidRPr="004605DF">
        <w:rPr>
          <w:rFonts w:ascii="Garamond" w:hAnsi="Garamond"/>
          <w:lang w:val="en-US"/>
        </w:rPr>
        <w:t xml:space="preserve"> </w:t>
      </w:r>
      <w:r w:rsidRPr="000021FD">
        <w:rPr>
          <w:rFonts w:ascii="Garamond" w:hAnsi="Garamond"/>
          <w:lang w:val="en-US"/>
        </w:rPr>
        <w:t>(2017)</w:t>
      </w:r>
      <w:r w:rsidRPr="004605DF">
        <w:rPr>
          <w:rFonts w:ascii="Garamond" w:hAnsi="Garamond"/>
          <w:lang w:val="en-US"/>
        </w:rPr>
        <w:t xml:space="preserve"> and in conversation.</w:t>
      </w:r>
    </w:p>
  </w:footnote>
  <w:footnote w:id="21">
    <w:p w14:paraId="01718A71" w14:textId="77777777" w:rsidR="00456245" w:rsidRPr="003C1C56" w:rsidRDefault="00456245" w:rsidP="003C1C56">
      <w:pPr>
        <w:pStyle w:val="FootnoteText"/>
        <w:spacing w:line="360" w:lineRule="auto"/>
        <w:jc w:val="both"/>
        <w:rPr>
          <w:rFonts w:ascii="Garamond" w:hAnsi="Garamond"/>
          <w:lang w:val="en-US"/>
        </w:rPr>
      </w:pPr>
      <w:r w:rsidRPr="003C1C56">
        <w:rPr>
          <w:rStyle w:val="FootnoteReference"/>
          <w:rFonts w:ascii="Garamond" w:hAnsi="Garamond"/>
        </w:rPr>
        <w:footnoteRef/>
      </w:r>
      <w:r w:rsidRPr="003C1C56">
        <w:rPr>
          <w:rFonts w:ascii="Garamond" w:hAnsi="Garamond"/>
          <w:lang w:val="en-US"/>
        </w:rPr>
        <w:t xml:space="preserve"> Notice that I allow for fewer hinges than Wittgenstein and, like contemporary epistemologists, I regard “Here is my hand” as an ordinary empirical proposition.</w:t>
      </w:r>
    </w:p>
  </w:footnote>
  <w:footnote w:id="22">
    <w:p w14:paraId="7BD8AFB1" w14:textId="77777777" w:rsidR="00456245" w:rsidRPr="003C1C56" w:rsidRDefault="00456245" w:rsidP="003C1C56">
      <w:pPr>
        <w:pStyle w:val="FootnoteText"/>
        <w:spacing w:line="360" w:lineRule="auto"/>
        <w:jc w:val="both"/>
        <w:rPr>
          <w:rFonts w:ascii="Garamond" w:hAnsi="Garamond"/>
          <w:lang w:val="en-US"/>
        </w:rPr>
      </w:pPr>
      <w:r w:rsidRPr="003C1C56">
        <w:rPr>
          <w:rStyle w:val="FootnoteReference"/>
          <w:rFonts w:ascii="Garamond" w:hAnsi="Garamond"/>
        </w:rPr>
        <w:footnoteRef/>
      </w:r>
      <w:r w:rsidRPr="003C1C56">
        <w:rPr>
          <w:rFonts w:ascii="Garamond" w:hAnsi="Garamond"/>
          <w:lang w:val="en-US"/>
        </w:rPr>
        <w:t xml:space="preserve"> For a defense of the moderate account as opposed to the liberal and conservative ones, endorsed by Pryor (2004) and Wright (1985, 2004) respectively, see </w:t>
      </w:r>
      <w:proofErr w:type="spellStart"/>
      <w:r w:rsidRPr="003C1C56">
        <w:rPr>
          <w:rFonts w:ascii="Garamond" w:hAnsi="Garamond"/>
          <w:lang w:val="en-US"/>
        </w:rPr>
        <w:t>Coliva</w:t>
      </w:r>
      <w:proofErr w:type="spellEnd"/>
      <w:r w:rsidRPr="003C1C56">
        <w:rPr>
          <w:rFonts w:ascii="Garamond" w:hAnsi="Garamond"/>
          <w:lang w:val="en-US"/>
        </w:rPr>
        <w:t xml:space="preserve"> (2015, chapters 1-2).</w:t>
      </w:r>
    </w:p>
  </w:footnote>
  <w:footnote w:id="23">
    <w:p w14:paraId="1F7B6C67" w14:textId="77777777" w:rsidR="00BB6485" w:rsidRPr="007204F7" w:rsidRDefault="00BB6485" w:rsidP="00BB6485">
      <w:pPr>
        <w:pStyle w:val="FootnoteText"/>
        <w:spacing w:line="360" w:lineRule="auto"/>
        <w:rPr>
          <w:rFonts w:ascii="Garamond" w:hAnsi="Garamond"/>
          <w:lang w:val="en-US"/>
        </w:rPr>
      </w:pPr>
      <w:r w:rsidRPr="007204F7">
        <w:rPr>
          <w:rStyle w:val="FootnoteReference"/>
          <w:rFonts w:ascii="Garamond" w:hAnsi="Garamond"/>
        </w:rPr>
        <w:footnoteRef/>
      </w:r>
      <w:r w:rsidRPr="007204F7">
        <w:rPr>
          <w:rFonts w:ascii="Garamond" w:hAnsi="Garamond"/>
          <w:lang w:val="en-US"/>
        </w:rPr>
        <w:t xml:space="preserve"> The details of the argument are presented in </w:t>
      </w:r>
      <w:proofErr w:type="spellStart"/>
      <w:r w:rsidRPr="007204F7">
        <w:rPr>
          <w:rFonts w:ascii="Garamond" w:hAnsi="Garamond"/>
          <w:lang w:val="en-US"/>
        </w:rPr>
        <w:t>Coliva</w:t>
      </w:r>
      <w:proofErr w:type="spellEnd"/>
      <w:r w:rsidRPr="007204F7">
        <w:rPr>
          <w:rFonts w:ascii="Garamond" w:hAnsi="Garamond"/>
          <w:lang w:val="en-US"/>
        </w:rPr>
        <w:t xml:space="preserve"> (2015, chapter 4).</w:t>
      </w:r>
    </w:p>
  </w:footnote>
  <w:footnote w:id="24">
    <w:p w14:paraId="35072993" w14:textId="2B7E2D49" w:rsidR="002F4928" w:rsidRPr="00FC4B3D" w:rsidRDefault="002F4928" w:rsidP="00FC4B3D">
      <w:pPr>
        <w:pStyle w:val="FootnoteText"/>
        <w:spacing w:line="360" w:lineRule="auto"/>
        <w:jc w:val="both"/>
        <w:rPr>
          <w:rFonts w:ascii="Garamond" w:hAnsi="Garamond"/>
          <w:lang w:val="en-US"/>
        </w:rPr>
      </w:pPr>
      <w:r w:rsidRPr="00FC4B3D">
        <w:rPr>
          <w:rStyle w:val="FootnoteReference"/>
          <w:rFonts w:ascii="Garamond" w:hAnsi="Garamond"/>
        </w:rPr>
        <w:footnoteRef/>
      </w:r>
      <w:r w:rsidRPr="00FC4B3D">
        <w:rPr>
          <w:rFonts w:ascii="Garamond" w:hAnsi="Garamond"/>
        </w:rPr>
        <w:t xml:space="preserve"> </w:t>
      </w:r>
      <w:r w:rsidRPr="00FC4B3D">
        <w:rPr>
          <w:rFonts w:ascii="Garamond" w:hAnsi="Garamond"/>
          <w:lang w:val="en-US"/>
        </w:rPr>
        <w:t xml:space="preserve">For the details of my position on Transmission Principles and Closure, see </w:t>
      </w:r>
      <w:proofErr w:type="spellStart"/>
      <w:r w:rsidRPr="00FC4B3D">
        <w:rPr>
          <w:rFonts w:ascii="Garamond" w:hAnsi="Garamond"/>
          <w:lang w:val="en-US"/>
        </w:rPr>
        <w:t>Coliva</w:t>
      </w:r>
      <w:proofErr w:type="spellEnd"/>
      <w:r w:rsidRPr="00FC4B3D">
        <w:rPr>
          <w:rFonts w:ascii="Garamond" w:hAnsi="Garamond"/>
          <w:lang w:val="en-US"/>
        </w:rPr>
        <w:t xml:space="preserve"> (2015, chapter 3).</w:t>
      </w:r>
    </w:p>
  </w:footnote>
  <w:footnote w:id="25">
    <w:p w14:paraId="1F6093CF" w14:textId="1D25F187" w:rsidR="00456245" w:rsidRPr="0058144C" w:rsidRDefault="00456245" w:rsidP="0058144C">
      <w:pPr>
        <w:pStyle w:val="FootnoteText"/>
        <w:spacing w:line="360" w:lineRule="auto"/>
        <w:jc w:val="both"/>
        <w:rPr>
          <w:rFonts w:ascii="Garamond" w:hAnsi="Garamond"/>
          <w:lang w:val="en-US"/>
        </w:rPr>
      </w:pPr>
      <w:r w:rsidRPr="0058144C">
        <w:rPr>
          <w:rStyle w:val="FootnoteReference"/>
          <w:rFonts w:ascii="Garamond" w:hAnsi="Garamond"/>
        </w:rPr>
        <w:footnoteRef/>
      </w:r>
      <w:r w:rsidRPr="0058144C">
        <w:rPr>
          <w:rFonts w:ascii="Garamond" w:hAnsi="Garamond"/>
          <w:lang w:val="en-US"/>
        </w:rPr>
        <w:t xml:space="preserve"> Acceptance is preferable to belief in this context because acceptances, contrary to beliefs, can be in good standing even if they are not supported (nor are they supportable) by reasons. For a more thorough treatment of this aspect of my proposal, see </w:t>
      </w:r>
      <w:proofErr w:type="spellStart"/>
      <w:r w:rsidRPr="0058144C">
        <w:rPr>
          <w:rFonts w:ascii="Garamond" w:hAnsi="Garamond"/>
          <w:lang w:val="en-US"/>
        </w:rPr>
        <w:t>Coliva</w:t>
      </w:r>
      <w:proofErr w:type="spellEnd"/>
      <w:r w:rsidRPr="0058144C">
        <w:rPr>
          <w:rFonts w:ascii="Garamond" w:hAnsi="Garamond"/>
          <w:lang w:val="en-US"/>
        </w:rPr>
        <w:t xml:space="preserve"> (2015, chapter 2).</w:t>
      </w:r>
      <w:r w:rsidR="0030653C">
        <w:rPr>
          <w:rFonts w:ascii="Garamond" w:hAnsi="Garamond"/>
          <w:lang w:val="en-US"/>
        </w:rPr>
        <w:t xml:space="preserve"> Notice that, in my view, acceptance is a propositional attitude of holding true without epistemic reasons in favor of the proposition so accepted, and it is also fully compatible with strong commitment to the truth of what is accepted. In short, it is a categorial acceptance rather than a hypothetical 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C3DF3"/>
    <w:multiLevelType w:val="hybridMultilevel"/>
    <w:tmpl w:val="829289DC"/>
    <w:lvl w:ilvl="0" w:tplc="62C47248">
      <w:start w:val="1"/>
      <w:numFmt w:val="bullet"/>
      <w:lvlText w:val="•"/>
      <w:lvlJc w:val="left"/>
      <w:pPr>
        <w:tabs>
          <w:tab w:val="num" w:pos="720"/>
        </w:tabs>
        <w:ind w:left="720" w:hanging="360"/>
      </w:pPr>
      <w:rPr>
        <w:rFonts w:ascii="Arial" w:hAnsi="Arial" w:hint="default"/>
      </w:rPr>
    </w:lvl>
    <w:lvl w:ilvl="1" w:tplc="CF86FA96" w:tentative="1">
      <w:start w:val="1"/>
      <w:numFmt w:val="bullet"/>
      <w:lvlText w:val="•"/>
      <w:lvlJc w:val="left"/>
      <w:pPr>
        <w:tabs>
          <w:tab w:val="num" w:pos="1440"/>
        </w:tabs>
        <w:ind w:left="1440" w:hanging="360"/>
      </w:pPr>
      <w:rPr>
        <w:rFonts w:ascii="Arial" w:hAnsi="Arial" w:hint="default"/>
      </w:rPr>
    </w:lvl>
    <w:lvl w:ilvl="2" w:tplc="E88AA2B4" w:tentative="1">
      <w:start w:val="1"/>
      <w:numFmt w:val="bullet"/>
      <w:lvlText w:val="•"/>
      <w:lvlJc w:val="left"/>
      <w:pPr>
        <w:tabs>
          <w:tab w:val="num" w:pos="2160"/>
        </w:tabs>
        <w:ind w:left="2160" w:hanging="360"/>
      </w:pPr>
      <w:rPr>
        <w:rFonts w:ascii="Arial" w:hAnsi="Arial" w:hint="default"/>
      </w:rPr>
    </w:lvl>
    <w:lvl w:ilvl="3" w:tplc="5AD8A988" w:tentative="1">
      <w:start w:val="1"/>
      <w:numFmt w:val="bullet"/>
      <w:lvlText w:val="•"/>
      <w:lvlJc w:val="left"/>
      <w:pPr>
        <w:tabs>
          <w:tab w:val="num" w:pos="2880"/>
        </w:tabs>
        <w:ind w:left="2880" w:hanging="360"/>
      </w:pPr>
      <w:rPr>
        <w:rFonts w:ascii="Arial" w:hAnsi="Arial" w:hint="default"/>
      </w:rPr>
    </w:lvl>
    <w:lvl w:ilvl="4" w:tplc="770CA114" w:tentative="1">
      <w:start w:val="1"/>
      <w:numFmt w:val="bullet"/>
      <w:lvlText w:val="•"/>
      <w:lvlJc w:val="left"/>
      <w:pPr>
        <w:tabs>
          <w:tab w:val="num" w:pos="3600"/>
        </w:tabs>
        <w:ind w:left="3600" w:hanging="360"/>
      </w:pPr>
      <w:rPr>
        <w:rFonts w:ascii="Arial" w:hAnsi="Arial" w:hint="default"/>
      </w:rPr>
    </w:lvl>
    <w:lvl w:ilvl="5" w:tplc="F648C182" w:tentative="1">
      <w:start w:val="1"/>
      <w:numFmt w:val="bullet"/>
      <w:lvlText w:val="•"/>
      <w:lvlJc w:val="left"/>
      <w:pPr>
        <w:tabs>
          <w:tab w:val="num" w:pos="4320"/>
        </w:tabs>
        <w:ind w:left="4320" w:hanging="360"/>
      </w:pPr>
      <w:rPr>
        <w:rFonts w:ascii="Arial" w:hAnsi="Arial" w:hint="default"/>
      </w:rPr>
    </w:lvl>
    <w:lvl w:ilvl="6" w:tplc="0BECAA7C" w:tentative="1">
      <w:start w:val="1"/>
      <w:numFmt w:val="bullet"/>
      <w:lvlText w:val="•"/>
      <w:lvlJc w:val="left"/>
      <w:pPr>
        <w:tabs>
          <w:tab w:val="num" w:pos="5040"/>
        </w:tabs>
        <w:ind w:left="5040" w:hanging="360"/>
      </w:pPr>
      <w:rPr>
        <w:rFonts w:ascii="Arial" w:hAnsi="Arial" w:hint="default"/>
      </w:rPr>
    </w:lvl>
    <w:lvl w:ilvl="7" w:tplc="F3769368" w:tentative="1">
      <w:start w:val="1"/>
      <w:numFmt w:val="bullet"/>
      <w:lvlText w:val="•"/>
      <w:lvlJc w:val="left"/>
      <w:pPr>
        <w:tabs>
          <w:tab w:val="num" w:pos="5760"/>
        </w:tabs>
        <w:ind w:left="5760" w:hanging="360"/>
      </w:pPr>
      <w:rPr>
        <w:rFonts w:ascii="Arial" w:hAnsi="Arial" w:hint="default"/>
      </w:rPr>
    </w:lvl>
    <w:lvl w:ilvl="8" w:tplc="9E6069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C03DBB"/>
    <w:multiLevelType w:val="hybridMultilevel"/>
    <w:tmpl w:val="D29C687A"/>
    <w:lvl w:ilvl="0" w:tplc="823C9C34">
      <w:start w:val="1"/>
      <w:numFmt w:val="bullet"/>
      <w:lvlText w:val="•"/>
      <w:lvlJc w:val="left"/>
      <w:pPr>
        <w:tabs>
          <w:tab w:val="num" w:pos="720"/>
        </w:tabs>
        <w:ind w:left="720" w:hanging="360"/>
      </w:pPr>
      <w:rPr>
        <w:rFonts w:ascii="Arial" w:hAnsi="Arial" w:hint="default"/>
      </w:rPr>
    </w:lvl>
    <w:lvl w:ilvl="1" w:tplc="14A20876" w:tentative="1">
      <w:start w:val="1"/>
      <w:numFmt w:val="bullet"/>
      <w:lvlText w:val="•"/>
      <w:lvlJc w:val="left"/>
      <w:pPr>
        <w:tabs>
          <w:tab w:val="num" w:pos="1440"/>
        </w:tabs>
        <w:ind w:left="1440" w:hanging="360"/>
      </w:pPr>
      <w:rPr>
        <w:rFonts w:ascii="Arial" w:hAnsi="Arial" w:hint="default"/>
      </w:rPr>
    </w:lvl>
    <w:lvl w:ilvl="2" w:tplc="02B2D5D8" w:tentative="1">
      <w:start w:val="1"/>
      <w:numFmt w:val="bullet"/>
      <w:lvlText w:val="•"/>
      <w:lvlJc w:val="left"/>
      <w:pPr>
        <w:tabs>
          <w:tab w:val="num" w:pos="2160"/>
        </w:tabs>
        <w:ind w:left="2160" w:hanging="360"/>
      </w:pPr>
      <w:rPr>
        <w:rFonts w:ascii="Arial" w:hAnsi="Arial" w:hint="default"/>
      </w:rPr>
    </w:lvl>
    <w:lvl w:ilvl="3" w:tplc="4E7C5064" w:tentative="1">
      <w:start w:val="1"/>
      <w:numFmt w:val="bullet"/>
      <w:lvlText w:val="•"/>
      <w:lvlJc w:val="left"/>
      <w:pPr>
        <w:tabs>
          <w:tab w:val="num" w:pos="2880"/>
        </w:tabs>
        <w:ind w:left="2880" w:hanging="360"/>
      </w:pPr>
      <w:rPr>
        <w:rFonts w:ascii="Arial" w:hAnsi="Arial" w:hint="default"/>
      </w:rPr>
    </w:lvl>
    <w:lvl w:ilvl="4" w:tplc="A59A7784" w:tentative="1">
      <w:start w:val="1"/>
      <w:numFmt w:val="bullet"/>
      <w:lvlText w:val="•"/>
      <w:lvlJc w:val="left"/>
      <w:pPr>
        <w:tabs>
          <w:tab w:val="num" w:pos="3600"/>
        </w:tabs>
        <w:ind w:left="3600" w:hanging="360"/>
      </w:pPr>
      <w:rPr>
        <w:rFonts w:ascii="Arial" w:hAnsi="Arial" w:hint="default"/>
      </w:rPr>
    </w:lvl>
    <w:lvl w:ilvl="5" w:tplc="668C6FBA" w:tentative="1">
      <w:start w:val="1"/>
      <w:numFmt w:val="bullet"/>
      <w:lvlText w:val="•"/>
      <w:lvlJc w:val="left"/>
      <w:pPr>
        <w:tabs>
          <w:tab w:val="num" w:pos="4320"/>
        </w:tabs>
        <w:ind w:left="4320" w:hanging="360"/>
      </w:pPr>
      <w:rPr>
        <w:rFonts w:ascii="Arial" w:hAnsi="Arial" w:hint="default"/>
      </w:rPr>
    </w:lvl>
    <w:lvl w:ilvl="6" w:tplc="AF40C8DC" w:tentative="1">
      <w:start w:val="1"/>
      <w:numFmt w:val="bullet"/>
      <w:lvlText w:val="•"/>
      <w:lvlJc w:val="left"/>
      <w:pPr>
        <w:tabs>
          <w:tab w:val="num" w:pos="5040"/>
        </w:tabs>
        <w:ind w:left="5040" w:hanging="360"/>
      </w:pPr>
      <w:rPr>
        <w:rFonts w:ascii="Arial" w:hAnsi="Arial" w:hint="default"/>
      </w:rPr>
    </w:lvl>
    <w:lvl w:ilvl="7" w:tplc="358C9E0A" w:tentative="1">
      <w:start w:val="1"/>
      <w:numFmt w:val="bullet"/>
      <w:lvlText w:val="•"/>
      <w:lvlJc w:val="left"/>
      <w:pPr>
        <w:tabs>
          <w:tab w:val="num" w:pos="5760"/>
        </w:tabs>
        <w:ind w:left="5760" w:hanging="360"/>
      </w:pPr>
      <w:rPr>
        <w:rFonts w:ascii="Arial" w:hAnsi="Arial" w:hint="default"/>
      </w:rPr>
    </w:lvl>
    <w:lvl w:ilvl="8" w:tplc="7BBEA23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5A4D84"/>
    <w:multiLevelType w:val="hybridMultilevel"/>
    <w:tmpl w:val="332228BE"/>
    <w:lvl w:ilvl="0" w:tplc="87E8323A">
      <w:start w:val="1"/>
      <w:numFmt w:val="bullet"/>
      <w:lvlText w:val="•"/>
      <w:lvlJc w:val="left"/>
      <w:pPr>
        <w:tabs>
          <w:tab w:val="num" w:pos="720"/>
        </w:tabs>
        <w:ind w:left="720" w:hanging="360"/>
      </w:pPr>
      <w:rPr>
        <w:rFonts w:ascii="Arial" w:hAnsi="Arial" w:hint="default"/>
      </w:rPr>
    </w:lvl>
    <w:lvl w:ilvl="1" w:tplc="3C528992" w:tentative="1">
      <w:start w:val="1"/>
      <w:numFmt w:val="bullet"/>
      <w:lvlText w:val="•"/>
      <w:lvlJc w:val="left"/>
      <w:pPr>
        <w:tabs>
          <w:tab w:val="num" w:pos="1440"/>
        </w:tabs>
        <w:ind w:left="1440" w:hanging="360"/>
      </w:pPr>
      <w:rPr>
        <w:rFonts w:ascii="Arial" w:hAnsi="Arial" w:hint="default"/>
      </w:rPr>
    </w:lvl>
    <w:lvl w:ilvl="2" w:tplc="2CF037A8" w:tentative="1">
      <w:start w:val="1"/>
      <w:numFmt w:val="bullet"/>
      <w:lvlText w:val="•"/>
      <w:lvlJc w:val="left"/>
      <w:pPr>
        <w:tabs>
          <w:tab w:val="num" w:pos="2160"/>
        </w:tabs>
        <w:ind w:left="2160" w:hanging="360"/>
      </w:pPr>
      <w:rPr>
        <w:rFonts w:ascii="Arial" w:hAnsi="Arial" w:hint="default"/>
      </w:rPr>
    </w:lvl>
    <w:lvl w:ilvl="3" w:tplc="74D8FB6C" w:tentative="1">
      <w:start w:val="1"/>
      <w:numFmt w:val="bullet"/>
      <w:lvlText w:val="•"/>
      <w:lvlJc w:val="left"/>
      <w:pPr>
        <w:tabs>
          <w:tab w:val="num" w:pos="2880"/>
        </w:tabs>
        <w:ind w:left="2880" w:hanging="360"/>
      </w:pPr>
      <w:rPr>
        <w:rFonts w:ascii="Arial" w:hAnsi="Arial" w:hint="default"/>
      </w:rPr>
    </w:lvl>
    <w:lvl w:ilvl="4" w:tplc="1230433A" w:tentative="1">
      <w:start w:val="1"/>
      <w:numFmt w:val="bullet"/>
      <w:lvlText w:val="•"/>
      <w:lvlJc w:val="left"/>
      <w:pPr>
        <w:tabs>
          <w:tab w:val="num" w:pos="3600"/>
        </w:tabs>
        <w:ind w:left="3600" w:hanging="360"/>
      </w:pPr>
      <w:rPr>
        <w:rFonts w:ascii="Arial" w:hAnsi="Arial" w:hint="default"/>
      </w:rPr>
    </w:lvl>
    <w:lvl w:ilvl="5" w:tplc="61FED3EC" w:tentative="1">
      <w:start w:val="1"/>
      <w:numFmt w:val="bullet"/>
      <w:lvlText w:val="•"/>
      <w:lvlJc w:val="left"/>
      <w:pPr>
        <w:tabs>
          <w:tab w:val="num" w:pos="4320"/>
        </w:tabs>
        <w:ind w:left="4320" w:hanging="360"/>
      </w:pPr>
      <w:rPr>
        <w:rFonts w:ascii="Arial" w:hAnsi="Arial" w:hint="default"/>
      </w:rPr>
    </w:lvl>
    <w:lvl w:ilvl="6" w:tplc="869456B2" w:tentative="1">
      <w:start w:val="1"/>
      <w:numFmt w:val="bullet"/>
      <w:lvlText w:val="•"/>
      <w:lvlJc w:val="left"/>
      <w:pPr>
        <w:tabs>
          <w:tab w:val="num" w:pos="5040"/>
        </w:tabs>
        <w:ind w:left="5040" w:hanging="360"/>
      </w:pPr>
      <w:rPr>
        <w:rFonts w:ascii="Arial" w:hAnsi="Arial" w:hint="default"/>
      </w:rPr>
    </w:lvl>
    <w:lvl w:ilvl="7" w:tplc="7A20BA0E" w:tentative="1">
      <w:start w:val="1"/>
      <w:numFmt w:val="bullet"/>
      <w:lvlText w:val="•"/>
      <w:lvlJc w:val="left"/>
      <w:pPr>
        <w:tabs>
          <w:tab w:val="num" w:pos="5760"/>
        </w:tabs>
        <w:ind w:left="5760" w:hanging="360"/>
      </w:pPr>
      <w:rPr>
        <w:rFonts w:ascii="Arial" w:hAnsi="Arial" w:hint="default"/>
      </w:rPr>
    </w:lvl>
    <w:lvl w:ilvl="8" w:tplc="1AD6F1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CB0030"/>
    <w:multiLevelType w:val="hybridMultilevel"/>
    <w:tmpl w:val="D8EA1BD6"/>
    <w:lvl w:ilvl="0" w:tplc="621E897A">
      <w:start w:val="1"/>
      <w:numFmt w:val="bullet"/>
      <w:lvlText w:val="•"/>
      <w:lvlJc w:val="left"/>
      <w:pPr>
        <w:tabs>
          <w:tab w:val="num" w:pos="720"/>
        </w:tabs>
        <w:ind w:left="720" w:hanging="360"/>
      </w:pPr>
      <w:rPr>
        <w:rFonts w:ascii="Arial" w:hAnsi="Arial" w:hint="default"/>
      </w:rPr>
    </w:lvl>
    <w:lvl w:ilvl="1" w:tplc="9676B320" w:tentative="1">
      <w:start w:val="1"/>
      <w:numFmt w:val="bullet"/>
      <w:lvlText w:val="•"/>
      <w:lvlJc w:val="left"/>
      <w:pPr>
        <w:tabs>
          <w:tab w:val="num" w:pos="1440"/>
        </w:tabs>
        <w:ind w:left="1440" w:hanging="360"/>
      </w:pPr>
      <w:rPr>
        <w:rFonts w:ascii="Arial" w:hAnsi="Arial" w:hint="default"/>
      </w:rPr>
    </w:lvl>
    <w:lvl w:ilvl="2" w:tplc="3ED85898" w:tentative="1">
      <w:start w:val="1"/>
      <w:numFmt w:val="bullet"/>
      <w:lvlText w:val="•"/>
      <w:lvlJc w:val="left"/>
      <w:pPr>
        <w:tabs>
          <w:tab w:val="num" w:pos="2160"/>
        </w:tabs>
        <w:ind w:left="2160" w:hanging="360"/>
      </w:pPr>
      <w:rPr>
        <w:rFonts w:ascii="Arial" w:hAnsi="Arial" w:hint="default"/>
      </w:rPr>
    </w:lvl>
    <w:lvl w:ilvl="3" w:tplc="1B8662C8" w:tentative="1">
      <w:start w:val="1"/>
      <w:numFmt w:val="bullet"/>
      <w:lvlText w:val="•"/>
      <w:lvlJc w:val="left"/>
      <w:pPr>
        <w:tabs>
          <w:tab w:val="num" w:pos="2880"/>
        </w:tabs>
        <w:ind w:left="2880" w:hanging="360"/>
      </w:pPr>
      <w:rPr>
        <w:rFonts w:ascii="Arial" w:hAnsi="Arial" w:hint="default"/>
      </w:rPr>
    </w:lvl>
    <w:lvl w:ilvl="4" w:tplc="0A3E2792" w:tentative="1">
      <w:start w:val="1"/>
      <w:numFmt w:val="bullet"/>
      <w:lvlText w:val="•"/>
      <w:lvlJc w:val="left"/>
      <w:pPr>
        <w:tabs>
          <w:tab w:val="num" w:pos="3600"/>
        </w:tabs>
        <w:ind w:left="3600" w:hanging="360"/>
      </w:pPr>
      <w:rPr>
        <w:rFonts w:ascii="Arial" w:hAnsi="Arial" w:hint="default"/>
      </w:rPr>
    </w:lvl>
    <w:lvl w:ilvl="5" w:tplc="8BB29D74" w:tentative="1">
      <w:start w:val="1"/>
      <w:numFmt w:val="bullet"/>
      <w:lvlText w:val="•"/>
      <w:lvlJc w:val="left"/>
      <w:pPr>
        <w:tabs>
          <w:tab w:val="num" w:pos="4320"/>
        </w:tabs>
        <w:ind w:left="4320" w:hanging="360"/>
      </w:pPr>
      <w:rPr>
        <w:rFonts w:ascii="Arial" w:hAnsi="Arial" w:hint="default"/>
      </w:rPr>
    </w:lvl>
    <w:lvl w:ilvl="6" w:tplc="162CF2B0" w:tentative="1">
      <w:start w:val="1"/>
      <w:numFmt w:val="bullet"/>
      <w:lvlText w:val="•"/>
      <w:lvlJc w:val="left"/>
      <w:pPr>
        <w:tabs>
          <w:tab w:val="num" w:pos="5040"/>
        </w:tabs>
        <w:ind w:left="5040" w:hanging="360"/>
      </w:pPr>
      <w:rPr>
        <w:rFonts w:ascii="Arial" w:hAnsi="Arial" w:hint="default"/>
      </w:rPr>
    </w:lvl>
    <w:lvl w:ilvl="7" w:tplc="CE7ACDAA" w:tentative="1">
      <w:start w:val="1"/>
      <w:numFmt w:val="bullet"/>
      <w:lvlText w:val="•"/>
      <w:lvlJc w:val="left"/>
      <w:pPr>
        <w:tabs>
          <w:tab w:val="num" w:pos="5760"/>
        </w:tabs>
        <w:ind w:left="5760" w:hanging="360"/>
      </w:pPr>
      <w:rPr>
        <w:rFonts w:ascii="Arial" w:hAnsi="Arial" w:hint="default"/>
      </w:rPr>
    </w:lvl>
    <w:lvl w:ilvl="8" w:tplc="6D5840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8F69D5"/>
    <w:multiLevelType w:val="hybridMultilevel"/>
    <w:tmpl w:val="30D0E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5B1E61"/>
    <w:multiLevelType w:val="multilevel"/>
    <w:tmpl w:val="DB8653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E894EBC"/>
    <w:multiLevelType w:val="hybridMultilevel"/>
    <w:tmpl w:val="8110B3EE"/>
    <w:lvl w:ilvl="0" w:tplc="3D844E3A">
      <w:start w:val="1"/>
      <w:numFmt w:val="bullet"/>
      <w:lvlText w:val="•"/>
      <w:lvlJc w:val="left"/>
      <w:pPr>
        <w:tabs>
          <w:tab w:val="num" w:pos="720"/>
        </w:tabs>
        <w:ind w:left="720" w:hanging="360"/>
      </w:pPr>
      <w:rPr>
        <w:rFonts w:ascii="Arial" w:hAnsi="Arial" w:hint="default"/>
      </w:rPr>
    </w:lvl>
    <w:lvl w:ilvl="1" w:tplc="868624AE" w:tentative="1">
      <w:start w:val="1"/>
      <w:numFmt w:val="bullet"/>
      <w:lvlText w:val="•"/>
      <w:lvlJc w:val="left"/>
      <w:pPr>
        <w:tabs>
          <w:tab w:val="num" w:pos="1440"/>
        </w:tabs>
        <w:ind w:left="1440" w:hanging="360"/>
      </w:pPr>
      <w:rPr>
        <w:rFonts w:ascii="Arial" w:hAnsi="Arial" w:hint="default"/>
      </w:rPr>
    </w:lvl>
    <w:lvl w:ilvl="2" w:tplc="8DAA1B4C" w:tentative="1">
      <w:start w:val="1"/>
      <w:numFmt w:val="bullet"/>
      <w:lvlText w:val="•"/>
      <w:lvlJc w:val="left"/>
      <w:pPr>
        <w:tabs>
          <w:tab w:val="num" w:pos="2160"/>
        </w:tabs>
        <w:ind w:left="2160" w:hanging="360"/>
      </w:pPr>
      <w:rPr>
        <w:rFonts w:ascii="Arial" w:hAnsi="Arial" w:hint="default"/>
      </w:rPr>
    </w:lvl>
    <w:lvl w:ilvl="3" w:tplc="88CA390E" w:tentative="1">
      <w:start w:val="1"/>
      <w:numFmt w:val="bullet"/>
      <w:lvlText w:val="•"/>
      <w:lvlJc w:val="left"/>
      <w:pPr>
        <w:tabs>
          <w:tab w:val="num" w:pos="2880"/>
        </w:tabs>
        <w:ind w:left="2880" w:hanging="360"/>
      </w:pPr>
      <w:rPr>
        <w:rFonts w:ascii="Arial" w:hAnsi="Arial" w:hint="default"/>
      </w:rPr>
    </w:lvl>
    <w:lvl w:ilvl="4" w:tplc="3438B492" w:tentative="1">
      <w:start w:val="1"/>
      <w:numFmt w:val="bullet"/>
      <w:lvlText w:val="•"/>
      <w:lvlJc w:val="left"/>
      <w:pPr>
        <w:tabs>
          <w:tab w:val="num" w:pos="3600"/>
        </w:tabs>
        <w:ind w:left="3600" w:hanging="360"/>
      </w:pPr>
      <w:rPr>
        <w:rFonts w:ascii="Arial" w:hAnsi="Arial" w:hint="default"/>
      </w:rPr>
    </w:lvl>
    <w:lvl w:ilvl="5" w:tplc="F5F459D8" w:tentative="1">
      <w:start w:val="1"/>
      <w:numFmt w:val="bullet"/>
      <w:lvlText w:val="•"/>
      <w:lvlJc w:val="left"/>
      <w:pPr>
        <w:tabs>
          <w:tab w:val="num" w:pos="4320"/>
        </w:tabs>
        <w:ind w:left="4320" w:hanging="360"/>
      </w:pPr>
      <w:rPr>
        <w:rFonts w:ascii="Arial" w:hAnsi="Arial" w:hint="default"/>
      </w:rPr>
    </w:lvl>
    <w:lvl w:ilvl="6" w:tplc="3A7E4CBA" w:tentative="1">
      <w:start w:val="1"/>
      <w:numFmt w:val="bullet"/>
      <w:lvlText w:val="•"/>
      <w:lvlJc w:val="left"/>
      <w:pPr>
        <w:tabs>
          <w:tab w:val="num" w:pos="5040"/>
        </w:tabs>
        <w:ind w:left="5040" w:hanging="360"/>
      </w:pPr>
      <w:rPr>
        <w:rFonts w:ascii="Arial" w:hAnsi="Arial" w:hint="default"/>
      </w:rPr>
    </w:lvl>
    <w:lvl w:ilvl="7" w:tplc="FC063A0C" w:tentative="1">
      <w:start w:val="1"/>
      <w:numFmt w:val="bullet"/>
      <w:lvlText w:val="•"/>
      <w:lvlJc w:val="left"/>
      <w:pPr>
        <w:tabs>
          <w:tab w:val="num" w:pos="5760"/>
        </w:tabs>
        <w:ind w:left="5760" w:hanging="360"/>
      </w:pPr>
      <w:rPr>
        <w:rFonts w:ascii="Arial" w:hAnsi="Arial" w:hint="default"/>
      </w:rPr>
    </w:lvl>
    <w:lvl w:ilvl="8" w:tplc="50C88C4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3880A93"/>
    <w:multiLevelType w:val="hybridMultilevel"/>
    <w:tmpl w:val="DB7600E0"/>
    <w:lvl w:ilvl="0" w:tplc="08BA34D6">
      <w:start w:val="1"/>
      <w:numFmt w:val="bullet"/>
      <w:lvlText w:val="•"/>
      <w:lvlJc w:val="left"/>
      <w:pPr>
        <w:tabs>
          <w:tab w:val="num" w:pos="720"/>
        </w:tabs>
        <w:ind w:left="720" w:hanging="360"/>
      </w:pPr>
      <w:rPr>
        <w:rFonts w:ascii="Arial" w:hAnsi="Arial" w:hint="default"/>
      </w:rPr>
    </w:lvl>
    <w:lvl w:ilvl="1" w:tplc="4762F688" w:tentative="1">
      <w:start w:val="1"/>
      <w:numFmt w:val="bullet"/>
      <w:lvlText w:val="•"/>
      <w:lvlJc w:val="left"/>
      <w:pPr>
        <w:tabs>
          <w:tab w:val="num" w:pos="1440"/>
        </w:tabs>
        <w:ind w:left="1440" w:hanging="360"/>
      </w:pPr>
      <w:rPr>
        <w:rFonts w:ascii="Arial" w:hAnsi="Arial" w:hint="default"/>
      </w:rPr>
    </w:lvl>
    <w:lvl w:ilvl="2" w:tplc="58924FEE" w:tentative="1">
      <w:start w:val="1"/>
      <w:numFmt w:val="bullet"/>
      <w:lvlText w:val="•"/>
      <w:lvlJc w:val="left"/>
      <w:pPr>
        <w:tabs>
          <w:tab w:val="num" w:pos="2160"/>
        </w:tabs>
        <w:ind w:left="2160" w:hanging="360"/>
      </w:pPr>
      <w:rPr>
        <w:rFonts w:ascii="Arial" w:hAnsi="Arial" w:hint="default"/>
      </w:rPr>
    </w:lvl>
    <w:lvl w:ilvl="3" w:tplc="C638C55C" w:tentative="1">
      <w:start w:val="1"/>
      <w:numFmt w:val="bullet"/>
      <w:lvlText w:val="•"/>
      <w:lvlJc w:val="left"/>
      <w:pPr>
        <w:tabs>
          <w:tab w:val="num" w:pos="2880"/>
        </w:tabs>
        <w:ind w:left="2880" w:hanging="360"/>
      </w:pPr>
      <w:rPr>
        <w:rFonts w:ascii="Arial" w:hAnsi="Arial" w:hint="default"/>
      </w:rPr>
    </w:lvl>
    <w:lvl w:ilvl="4" w:tplc="04AA307E" w:tentative="1">
      <w:start w:val="1"/>
      <w:numFmt w:val="bullet"/>
      <w:lvlText w:val="•"/>
      <w:lvlJc w:val="left"/>
      <w:pPr>
        <w:tabs>
          <w:tab w:val="num" w:pos="3600"/>
        </w:tabs>
        <w:ind w:left="3600" w:hanging="360"/>
      </w:pPr>
      <w:rPr>
        <w:rFonts w:ascii="Arial" w:hAnsi="Arial" w:hint="default"/>
      </w:rPr>
    </w:lvl>
    <w:lvl w:ilvl="5" w:tplc="D8FA8CCA" w:tentative="1">
      <w:start w:val="1"/>
      <w:numFmt w:val="bullet"/>
      <w:lvlText w:val="•"/>
      <w:lvlJc w:val="left"/>
      <w:pPr>
        <w:tabs>
          <w:tab w:val="num" w:pos="4320"/>
        </w:tabs>
        <w:ind w:left="4320" w:hanging="360"/>
      </w:pPr>
      <w:rPr>
        <w:rFonts w:ascii="Arial" w:hAnsi="Arial" w:hint="default"/>
      </w:rPr>
    </w:lvl>
    <w:lvl w:ilvl="6" w:tplc="9F1EB2F6" w:tentative="1">
      <w:start w:val="1"/>
      <w:numFmt w:val="bullet"/>
      <w:lvlText w:val="•"/>
      <w:lvlJc w:val="left"/>
      <w:pPr>
        <w:tabs>
          <w:tab w:val="num" w:pos="5040"/>
        </w:tabs>
        <w:ind w:left="5040" w:hanging="360"/>
      </w:pPr>
      <w:rPr>
        <w:rFonts w:ascii="Arial" w:hAnsi="Arial" w:hint="default"/>
      </w:rPr>
    </w:lvl>
    <w:lvl w:ilvl="7" w:tplc="3AEE0BCA" w:tentative="1">
      <w:start w:val="1"/>
      <w:numFmt w:val="bullet"/>
      <w:lvlText w:val="•"/>
      <w:lvlJc w:val="left"/>
      <w:pPr>
        <w:tabs>
          <w:tab w:val="num" w:pos="5760"/>
        </w:tabs>
        <w:ind w:left="5760" w:hanging="360"/>
      </w:pPr>
      <w:rPr>
        <w:rFonts w:ascii="Arial" w:hAnsi="Arial" w:hint="default"/>
      </w:rPr>
    </w:lvl>
    <w:lvl w:ilvl="8" w:tplc="CA00E1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78C06B6"/>
    <w:multiLevelType w:val="hybridMultilevel"/>
    <w:tmpl w:val="66902C58"/>
    <w:lvl w:ilvl="0" w:tplc="77046C48">
      <w:start w:val="1"/>
      <w:numFmt w:val="bullet"/>
      <w:lvlText w:val="•"/>
      <w:lvlJc w:val="left"/>
      <w:pPr>
        <w:tabs>
          <w:tab w:val="num" w:pos="720"/>
        </w:tabs>
        <w:ind w:left="720" w:hanging="360"/>
      </w:pPr>
      <w:rPr>
        <w:rFonts w:ascii="Arial" w:hAnsi="Arial" w:hint="default"/>
      </w:rPr>
    </w:lvl>
    <w:lvl w:ilvl="1" w:tplc="942AB184" w:tentative="1">
      <w:start w:val="1"/>
      <w:numFmt w:val="bullet"/>
      <w:lvlText w:val="•"/>
      <w:lvlJc w:val="left"/>
      <w:pPr>
        <w:tabs>
          <w:tab w:val="num" w:pos="1440"/>
        </w:tabs>
        <w:ind w:left="1440" w:hanging="360"/>
      </w:pPr>
      <w:rPr>
        <w:rFonts w:ascii="Arial" w:hAnsi="Arial" w:hint="default"/>
      </w:rPr>
    </w:lvl>
    <w:lvl w:ilvl="2" w:tplc="A3B261DA" w:tentative="1">
      <w:start w:val="1"/>
      <w:numFmt w:val="bullet"/>
      <w:lvlText w:val="•"/>
      <w:lvlJc w:val="left"/>
      <w:pPr>
        <w:tabs>
          <w:tab w:val="num" w:pos="2160"/>
        </w:tabs>
        <w:ind w:left="2160" w:hanging="360"/>
      </w:pPr>
      <w:rPr>
        <w:rFonts w:ascii="Arial" w:hAnsi="Arial" w:hint="default"/>
      </w:rPr>
    </w:lvl>
    <w:lvl w:ilvl="3" w:tplc="429CCD28" w:tentative="1">
      <w:start w:val="1"/>
      <w:numFmt w:val="bullet"/>
      <w:lvlText w:val="•"/>
      <w:lvlJc w:val="left"/>
      <w:pPr>
        <w:tabs>
          <w:tab w:val="num" w:pos="2880"/>
        </w:tabs>
        <w:ind w:left="2880" w:hanging="360"/>
      </w:pPr>
      <w:rPr>
        <w:rFonts w:ascii="Arial" w:hAnsi="Arial" w:hint="default"/>
      </w:rPr>
    </w:lvl>
    <w:lvl w:ilvl="4" w:tplc="09F0B114" w:tentative="1">
      <w:start w:val="1"/>
      <w:numFmt w:val="bullet"/>
      <w:lvlText w:val="•"/>
      <w:lvlJc w:val="left"/>
      <w:pPr>
        <w:tabs>
          <w:tab w:val="num" w:pos="3600"/>
        </w:tabs>
        <w:ind w:left="3600" w:hanging="360"/>
      </w:pPr>
      <w:rPr>
        <w:rFonts w:ascii="Arial" w:hAnsi="Arial" w:hint="default"/>
      </w:rPr>
    </w:lvl>
    <w:lvl w:ilvl="5" w:tplc="041265E6" w:tentative="1">
      <w:start w:val="1"/>
      <w:numFmt w:val="bullet"/>
      <w:lvlText w:val="•"/>
      <w:lvlJc w:val="left"/>
      <w:pPr>
        <w:tabs>
          <w:tab w:val="num" w:pos="4320"/>
        </w:tabs>
        <w:ind w:left="4320" w:hanging="360"/>
      </w:pPr>
      <w:rPr>
        <w:rFonts w:ascii="Arial" w:hAnsi="Arial" w:hint="default"/>
      </w:rPr>
    </w:lvl>
    <w:lvl w:ilvl="6" w:tplc="C2CA467C" w:tentative="1">
      <w:start w:val="1"/>
      <w:numFmt w:val="bullet"/>
      <w:lvlText w:val="•"/>
      <w:lvlJc w:val="left"/>
      <w:pPr>
        <w:tabs>
          <w:tab w:val="num" w:pos="5040"/>
        </w:tabs>
        <w:ind w:left="5040" w:hanging="360"/>
      </w:pPr>
      <w:rPr>
        <w:rFonts w:ascii="Arial" w:hAnsi="Arial" w:hint="default"/>
      </w:rPr>
    </w:lvl>
    <w:lvl w:ilvl="7" w:tplc="59A475F0" w:tentative="1">
      <w:start w:val="1"/>
      <w:numFmt w:val="bullet"/>
      <w:lvlText w:val="•"/>
      <w:lvlJc w:val="left"/>
      <w:pPr>
        <w:tabs>
          <w:tab w:val="num" w:pos="5760"/>
        </w:tabs>
        <w:ind w:left="5760" w:hanging="360"/>
      </w:pPr>
      <w:rPr>
        <w:rFonts w:ascii="Arial" w:hAnsi="Arial" w:hint="default"/>
      </w:rPr>
    </w:lvl>
    <w:lvl w:ilvl="8" w:tplc="E6B2FCF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8E3023C"/>
    <w:multiLevelType w:val="hybridMultilevel"/>
    <w:tmpl w:val="C11618B0"/>
    <w:lvl w:ilvl="0" w:tplc="94120B7A">
      <w:start w:val="1"/>
      <w:numFmt w:val="bullet"/>
      <w:lvlText w:val="•"/>
      <w:lvlJc w:val="left"/>
      <w:pPr>
        <w:tabs>
          <w:tab w:val="num" w:pos="720"/>
        </w:tabs>
        <w:ind w:left="720" w:hanging="360"/>
      </w:pPr>
      <w:rPr>
        <w:rFonts w:ascii="Arial" w:hAnsi="Arial" w:hint="default"/>
      </w:rPr>
    </w:lvl>
    <w:lvl w:ilvl="1" w:tplc="9CAC161C" w:tentative="1">
      <w:start w:val="1"/>
      <w:numFmt w:val="bullet"/>
      <w:lvlText w:val="•"/>
      <w:lvlJc w:val="left"/>
      <w:pPr>
        <w:tabs>
          <w:tab w:val="num" w:pos="1440"/>
        </w:tabs>
        <w:ind w:left="1440" w:hanging="360"/>
      </w:pPr>
      <w:rPr>
        <w:rFonts w:ascii="Arial" w:hAnsi="Arial" w:hint="default"/>
      </w:rPr>
    </w:lvl>
    <w:lvl w:ilvl="2" w:tplc="99803B5A" w:tentative="1">
      <w:start w:val="1"/>
      <w:numFmt w:val="bullet"/>
      <w:lvlText w:val="•"/>
      <w:lvlJc w:val="left"/>
      <w:pPr>
        <w:tabs>
          <w:tab w:val="num" w:pos="2160"/>
        </w:tabs>
        <w:ind w:left="2160" w:hanging="360"/>
      </w:pPr>
      <w:rPr>
        <w:rFonts w:ascii="Arial" w:hAnsi="Arial" w:hint="default"/>
      </w:rPr>
    </w:lvl>
    <w:lvl w:ilvl="3" w:tplc="71007B10" w:tentative="1">
      <w:start w:val="1"/>
      <w:numFmt w:val="bullet"/>
      <w:lvlText w:val="•"/>
      <w:lvlJc w:val="left"/>
      <w:pPr>
        <w:tabs>
          <w:tab w:val="num" w:pos="2880"/>
        </w:tabs>
        <w:ind w:left="2880" w:hanging="360"/>
      </w:pPr>
      <w:rPr>
        <w:rFonts w:ascii="Arial" w:hAnsi="Arial" w:hint="default"/>
      </w:rPr>
    </w:lvl>
    <w:lvl w:ilvl="4" w:tplc="A8007E7E" w:tentative="1">
      <w:start w:val="1"/>
      <w:numFmt w:val="bullet"/>
      <w:lvlText w:val="•"/>
      <w:lvlJc w:val="left"/>
      <w:pPr>
        <w:tabs>
          <w:tab w:val="num" w:pos="3600"/>
        </w:tabs>
        <w:ind w:left="3600" w:hanging="360"/>
      </w:pPr>
      <w:rPr>
        <w:rFonts w:ascii="Arial" w:hAnsi="Arial" w:hint="default"/>
      </w:rPr>
    </w:lvl>
    <w:lvl w:ilvl="5" w:tplc="120EE582" w:tentative="1">
      <w:start w:val="1"/>
      <w:numFmt w:val="bullet"/>
      <w:lvlText w:val="•"/>
      <w:lvlJc w:val="left"/>
      <w:pPr>
        <w:tabs>
          <w:tab w:val="num" w:pos="4320"/>
        </w:tabs>
        <w:ind w:left="4320" w:hanging="360"/>
      </w:pPr>
      <w:rPr>
        <w:rFonts w:ascii="Arial" w:hAnsi="Arial" w:hint="default"/>
      </w:rPr>
    </w:lvl>
    <w:lvl w:ilvl="6" w:tplc="285EE8C6" w:tentative="1">
      <w:start w:val="1"/>
      <w:numFmt w:val="bullet"/>
      <w:lvlText w:val="•"/>
      <w:lvlJc w:val="left"/>
      <w:pPr>
        <w:tabs>
          <w:tab w:val="num" w:pos="5040"/>
        </w:tabs>
        <w:ind w:left="5040" w:hanging="360"/>
      </w:pPr>
      <w:rPr>
        <w:rFonts w:ascii="Arial" w:hAnsi="Arial" w:hint="default"/>
      </w:rPr>
    </w:lvl>
    <w:lvl w:ilvl="7" w:tplc="B836707E" w:tentative="1">
      <w:start w:val="1"/>
      <w:numFmt w:val="bullet"/>
      <w:lvlText w:val="•"/>
      <w:lvlJc w:val="left"/>
      <w:pPr>
        <w:tabs>
          <w:tab w:val="num" w:pos="5760"/>
        </w:tabs>
        <w:ind w:left="5760" w:hanging="360"/>
      </w:pPr>
      <w:rPr>
        <w:rFonts w:ascii="Arial" w:hAnsi="Arial" w:hint="default"/>
      </w:rPr>
    </w:lvl>
    <w:lvl w:ilvl="8" w:tplc="0E38FF6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E92012B"/>
    <w:multiLevelType w:val="hybridMultilevel"/>
    <w:tmpl w:val="EC2E2244"/>
    <w:lvl w:ilvl="0" w:tplc="F886B872">
      <w:start w:val="1"/>
      <w:numFmt w:val="bullet"/>
      <w:lvlText w:val="•"/>
      <w:lvlJc w:val="left"/>
      <w:pPr>
        <w:tabs>
          <w:tab w:val="num" w:pos="720"/>
        </w:tabs>
        <w:ind w:left="720" w:hanging="360"/>
      </w:pPr>
      <w:rPr>
        <w:rFonts w:ascii="Arial" w:hAnsi="Arial" w:hint="default"/>
      </w:rPr>
    </w:lvl>
    <w:lvl w:ilvl="1" w:tplc="7AC0998C" w:tentative="1">
      <w:start w:val="1"/>
      <w:numFmt w:val="bullet"/>
      <w:lvlText w:val="•"/>
      <w:lvlJc w:val="left"/>
      <w:pPr>
        <w:tabs>
          <w:tab w:val="num" w:pos="1440"/>
        </w:tabs>
        <w:ind w:left="1440" w:hanging="360"/>
      </w:pPr>
      <w:rPr>
        <w:rFonts w:ascii="Arial" w:hAnsi="Arial" w:hint="default"/>
      </w:rPr>
    </w:lvl>
    <w:lvl w:ilvl="2" w:tplc="34EA5716" w:tentative="1">
      <w:start w:val="1"/>
      <w:numFmt w:val="bullet"/>
      <w:lvlText w:val="•"/>
      <w:lvlJc w:val="left"/>
      <w:pPr>
        <w:tabs>
          <w:tab w:val="num" w:pos="2160"/>
        </w:tabs>
        <w:ind w:left="2160" w:hanging="360"/>
      </w:pPr>
      <w:rPr>
        <w:rFonts w:ascii="Arial" w:hAnsi="Arial" w:hint="default"/>
      </w:rPr>
    </w:lvl>
    <w:lvl w:ilvl="3" w:tplc="598CD2B0" w:tentative="1">
      <w:start w:val="1"/>
      <w:numFmt w:val="bullet"/>
      <w:lvlText w:val="•"/>
      <w:lvlJc w:val="left"/>
      <w:pPr>
        <w:tabs>
          <w:tab w:val="num" w:pos="2880"/>
        </w:tabs>
        <w:ind w:left="2880" w:hanging="360"/>
      </w:pPr>
      <w:rPr>
        <w:rFonts w:ascii="Arial" w:hAnsi="Arial" w:hint="default"/>
      </w:rPr>
    </w:lvl>
    <w:lvl w:ilvl="4" w:tplc="5D7840FC" w:tentative="1">
      <w:start w:val="1"/>
      <w:numFmt w:val="bullet"/>
      <w:lvlText w:val="•"/>
      <w:lvlJc w:val="left"/>
      <w:pPr>
        <w:tabs>
          <w:tab w:val="num" w:pos="3600"/>
        </w:tabs>
        <w:ind w:left="3600" w:hanging="360"/>
      </w:pPr>
      <w:rPr>
        <w:rFonts w:ascii="Arial" w:hAnsi="Arial" w:hint="default"/>
      </w:rPr>
    </w:lvl>
    <w:lvl w:ilvl="5" w:tplc="5A642EF4" w:tentative="1">
      <w:start w:val="1"/>
      <w:numFmt w:val="bullet"/>
      <w:lvlText w:val="•"/>
      <w:lvlJc w:val="left"/>
      <w:pPr>
        <w:tabs>
          <w:tab w:val="num" w:pos="4320"/>
        </w:tabs>
        <w:ind w:left="4320" w:hanging="360"/>
      </w:pPr>
      <w:rPr>
        <w:rFonts w:ascii="Arial" w:hAnsi="Arial" w:hint="default"/>
      </w:rPr>
    </w:lvl>
    <w:lvl w:ilvl="6" w:tplc="92FC7446" w:tentative="1">
      <w:start w:val="1"/>
      <w:numFmt w:val="bullet"/>
      <w:lvlText w:val="•"/>
      <w:lvlJc w:val="left"/>
      <w:pPr>
        <w:tabs>
          <w:tab w:val="num" w:pos="5040"/>
        </w:tabs>
        <w:ind w:left="5040" w:hanging="360"/>
      </w:pPr>
      <w:rPr>
        <w:rFonts w:ascii="Arial" w:hAnsi="Arial" w:hint="default"/>
      </w:rPr>
    </w:lvl>
    <w:lvl w:ilvl="7" w:tplc="1E283D34" w:tentative="1">
      <w:start w:val="1"/>
      <w:numFmt w:val="bullet"/>
      <w:lvlText w:val="•"/>
      <w:lvlJc w:val="left"/>
      <w:pPr>
        <w:tabs>
          <w:tab w:val="num" w:pos="5760"/>
        </w:tabs>
        <w:ind w:left="5760" w:hanging="360"/>
      </w:pPr>
      <w:rPr>
        <w:rFonts w:ascii="Arial" w:hAnsi="Arial" w:hint="default"/>
      </w:rPr>
    </w:lvl>
    <w:lvl w:ilvl="8" w:tplc="43E29B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E356576"/>
    <w:multiLevelType w:val="hybridMultilevel"/>
    <w:tmpl w:val="5C8A79E0"/>
    <w:lvl w:ilvl="0" w:tplc="F55EB8E0">
      <w:start w:val="1"/>
      <w:numFmt w:val="decimal"/>
      <w:lvlText w:val="%1)"/>
      <w:lvlJc w:val="left"/>
      <w:pPr>
        <w:tabs>
          <w:tab w:val="num" w:pos="720"/>
        </w:tabs>
        <w:ind w:left="720" w:hanging="360"/>
      </w:pPr>
    </w:lvl>
    <w:lvl w:ilvl="1" w:tplc="FEE41C4C" w:tentative="1">
      <w:start w:val="1"/>
      <w:numFmt w:val="decimal"/>
      <w:lvlText w:val="%2)"/>
      <w:lvlJc w:val="left"/>
      <w:pPr>
        <w:tabs>
          <w:tab w:val="num" w:pos="1440"/>
        </w:tabs>
        <w:ind w:left="1440" w:hanging="360"/>
      </w:pPr>
    </w:lvl>
    <w:lvl w:ilvl="2" w:tplc="0A20CF96" w:tentative="1">
      <w:start w:val="1"/>
      <w:numFmt w:val="decimal"/>
      <w:lvlText w:val="%3)"/>
      <w:lvlJc w:val="left"/>
      <w:pPr>
        <w:tabs>
          <w:tab w:val="num" w:pos="2160"/>
        </w:tabs>
        <w:ind w:left="2160" w:hanging="360"/>
      </w:pPr>
    </w:lvl>
    <w:lvl w:ilvl="3" w:tplc="36D862B2" w:tentative="1">
      <w:start w:val="1"/>
      <w:numFmt w:val="decimal"/>
      <w:lvlText w:val="%4)"/>
      <w:lvlJc w:val="left"/>
      <w:pPr>
        <w:tabs>
          <w:tab w:val="num" w:pos="2880"/>
        </w:tabs>
        <w:ind w:left="2880" w:hanging="360"/>
      </w:pPr>
    </w:lvl>
    <w:lvl w:ilvl="4" w:tplc="CF2A0150" w:tentative="1">
      <w:start w:val="1"/>
      <w:numFmt w:val="decimal"/>
      <w:lvlText w:val="%5)"/>
      <w:lvlJc w:val="left"/>
      <w:pPr>
        <w:tabs>
          <w:tab w:val="num" w:pos="3600"/>
        </w:tabs>
        <w:ind w:left="3600" w:hanging="360"/>
      </w:pPr>
    </w:lvl>
    <w:lvl w:ilvl="5" w:tplc="A7E0CABC" w:tentative="1">
      <w:start w:val="1"/>
      <w:numFmt w:val="decimal"/>
      <w:lvlText w:val="%6)"/>
      <w:lvlJc w:val="left"/>
      <w:pPr>
        <w:tabs>
          <w:tab w:val="num" w:pos="4320"/>
        </w:tabs>
        <w:ind w:left="4320" w:hanging="360"/>
      </w:pPr>
    </w:lvl>
    <w:lvl w:ilvl="6" w:tplc="3610591A" w:tentative="1">
      <w:start w:val="1"/>
      <w:numFmt w:val="decimal"/>
      <w:lvlText w:val="%7)"/>
      <w:lvlJc w:val="left"/>
      <w:pPr>
        <w:tabs>
          <w:tab w:val="num" w:pos="5040"/>
        </w:tabs>
        <w:ind w:left="5040" w:hanging="360"/>
      </w:pPr>
    </w:lvl>
    <w:lvl w:ilvl="7" w:tplc="D2C43DAA" w:tentative="1">
      <w:start w:val="1"/>
      <w:numFmt w:val="decimal"/>
      <w:lvlText w:val="%8)"/>
      <w:lvlJc w:val="left"/>
      <w:pPr>
        <w:tabs>
          <w:tab w:val="num" w:pos="5760"/>
        </w:tabs>
        <w:ind w:left="5760" w:hanging="360"/>
      </w:pPr>
    </w:lvl>
    <w:lvl w:ilvl="8" w:tplc="1E1093EA" w:tentative="1">
      <w:start w:val="1"/>
      <w:numFmt w:val="decimal"/>
      <w:lvlText w:val="%9)"/>
      <w:lvlJc w:val="left"/>
      <w:pPr>
        <w:tabs>
          <w:tab w:val="num" w:pos="6480"/>
        </w:tabs>
        <w:ind w:left="6480" w:hanging="360"/>
      </w:pPr>
    </w:lvl>
  </w:abstractNum>
  <w:abstractNum w:abstractNumId="12" w15:restartNumberingAfterBreak="0">
    <w:nsid w:val="64B4119F"/>
    <w:multiLevelType w:val="hybridMultilevel"/>
    <w:tmpl w:val="53ECF66C"/>
    <w:lvl w:ilvl="0" w:tplc="3D9C0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E2B4402"/>
    <w:multiLevelType w:val="hybridMultilevel"/>
    <w:tmpl w:val="97D40BCC"/>
    <w:lvl w:ilvl="0" w:tplc="FE0E03AE">
      <w:start w:val="1"/>
      <w:numFmt w:val="bullet"/>
      <w:lvlText w:val="•"/>
      <w:lvlJc w:val="left"/>
      <w:pPr>
        <w:tabs>
          <w:tab w:val="num" w:pos="720"/>
        </w:tabs>
        <w:ind w:left="720" w:hanging="360"/>
      </w:pPr>
      <w:rPr>
        <w:rFonts w:ascii="Arial" w:hAnsi="Arial" w:hint="default"/>
      </w:rPr>
    </w:lvl>
    <w:lvl w:ilvl="1" w:tplc="6B10B40C" w:tentative="1">
      <w:start w:val="1"/>
      <w:numFmt w:val="bullet"/>
      <w:lvlText w:val="•"/>
      <w:lvlJc w:val="left"/>
      <w:pPr>
        <w:tabs>
          <w:tab w:val="num" w:pos="1440"/>
        </w:tabs>
        <w:ind w:left="1440" w:hanging="360"/>
      </w:pPr>
      <w:rPr>
        <w:rFonts w:ascii="Arial" w:hAnsi="Arial" w:hint="default"/>
      </w:rPr>
    </w:lvl>
    <w:lvl w:ilvl="2" w:tplc="CEA2DB8A" w:tentative="1">
      <w:start w:val="1"/>
      <w:numFmt w:val="bullet"/>
      <w:lvlText w:val="•"/>
      <w:lvlJc w:val="left"/>
      <w:pPr>
        <w:tabs>
          <w:tab w:val="num" w:pos="2160"/>
        </w:tabs>
        <w:ind w:left="2160" w:hanging="360"/>
      </w:pPr>
      <w:rPr>
        <w:rFonts w:ascii="Arial" w:hAnsi="Arial" w:hint="default"/>
      </w:rPr>
    </w:lvl>
    <w:lvl w:ilvl="3" w:tplc="E5D228F6" w:tentative="1">
      <w:start w:val="1"/>
      <w:numFmt w:val="bullet"/>
      <w:lvlText w:val="•"/>
      <w:lvlJc w:val="left"/>
      <w:pPr>
        <w:tabs>
          <w:tab w:val="num" w:pos="2880"/>
        </w:tabs>
        <w:ind w:left="2880" w:hanging="360"/>
      </w:pPr>
      <w:rPr>
        <w:rFonts w:ascii="Arial" w:hAnsi="Arial" w:hint="default"/>
      </w:rPr>
    </w:lvl>
    <w:lvl w:ilvl="4" w:tplc="E148246C" w:tentative="1">
      <w:start w:val="1"/>
      <w:numFmt w:val="bullet"/>
      <w:lvlText w:val="•"/>
      <w:lvlJc w:val="left"/>
      <w:pPr>
        <w:tabs>
          <w:tab w:val="num" w:pos="3600"/>
        </w:tabs>
        <w:ind w:left="3600" w:hanging="360"/>
      </w:pPr>
      <w:rPr>
        <w:rFonts w:ascii="Arial" w:hAnsi="Arial" w:hint="default"/>
      </w:rPr>
    </w:lvl>
    <w:lvl w:ilvl="5" w:tplc="90302740" w:tentative="1">
      <w:start w:val="1"/>
      <w:numFmt w:val="bullet"/>
      <w:lvlText w:val="•"/>
      <w:lvlJc w:val="left"/>
      <w:pPr>
        <w:tabs>
          <w:tab w:val="num" w:pos="4320"/>
        </w:tabs>
        <w:ind w:left="4320" w:hanging="360"/>
      </w:pPr>
      <w:rPr>
        <w:rFonts w:ascii="Arial" w:hAnsi="Arial" w:hint="default"/>
      </w:rPr>
    </w:lvl>
    <w:lvl w:ilvl="6" w:tplc="23967B66" w:tentative="1">
      <w:start w:val="1"/>
      <w:numFmt w:val="bullet"/>
      <w:lvlText w:val="•"/>
      <w:lvlJc w:val="left"/>
      <w:pPr>
        <w:tabs>
          <w:tab w:val="num" w:pos="5040"/>
        </w:tabs>
        <w:ind w:left="5040" w:hanging="360"/>
      </w:pPr>
      <w:rPr>
        <w:rFonts w:ascii="Arial" w:hAnsi="Arial" w:hint="default"/>
      </w:rPr>
    </w:lvl>
    <w:lvl w:ilvl="7" w:tplc="8EC0FE88" w:tentative="1">
      <w:start w:val="1"/>
      <w:numFmt w:val="bullet"/>
      <w:lvlText w:val="•"/>
      <w:lvlJc w:val="left"/>
      <w:pPr>
        <w:tabs>
          <w:tab w:val="num" w:pos="5760"/>
        </w:tabs>
        <w:ind w:left="5760" w:hanging="360"/>
      </w:pPr>
      <w:rPr>
        <w:rFonts w:ascii="Arial" w:hAnsi="Arial" w:hint="default"/>
      </w:rPr>
    </w:lvl>
    <w:lvl w:ilvl="8" w:tplc="4DA8A0B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FA724A2"/>
    <w:multiLevelType w:val="hybridMultilevel"/>
    <w:tmpl w:val="36A24994"/>
    <w:lvl w:ilvl="0" w:tplc="2068C182">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14"/>
  </w:num>
  <w:num w:numId="4">
    <w:abstractNumId w:val="7"/>
  </w:num>
  <w:num w:numId="5">
    <w:abstractNumId w:val="10"/>
  </w:num>
  <w:num w:numId="6">
    <w:abstractNumId w:val="11"/>
  </w:num>
  <w:num w:numId="7">
    <w:abstractNumId w:val="13"/>
  </w:num>
  <w:num w:numId="8">
    <w:abstractNumId w:val="6"/>
  </w:num>
  <w:num w:numId="9">
    <w:abstractNumId w:val="9"/>
  </w:num>
  <w:num w:numId="10">
    <w:abstractNumId w:val="8"/>
  </w:num>
  <w:num w:numId="11">
    <w:abstractNumId w:val="2"/>
  </w:num>
  <w:num w:numId="12">
    <w:abstractNumId w:val="1"/>
  </w:num>
  <w:num w:numId="13">
    <w:abstractNumId w:val="0"/>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2081"/>
    <w:rsid w:val="000021FD"/>
    <w:rsid w:val="00016933"/>
    <w:rsid w:val="0002085C"/>
    <w:rsid w:val="000300ED"/>
    <w:rsid w:val="000353BD"/>
    <w:rsid w:val="00062067"/>
    <w:rsid w:val="000A6D04"/>
    <w:rsid w:val="000C0166"/>
    <w:rsid w:val="000C1D20"/>
    <w:rsid w:val="00166733"/>
    <w:rsid w:val="00183D86"/>
    <w:rsid w:val="001841DD"/>
    <w:rsid w:val="001914F1"/>
    <w:rsid w:val="001A3100"/>
    <w:rsid w:val="001C3837"/>
    <w:rsid w:val="001D3CAE"/>
    <w:rsid w:val="001E4B79"/>
    <w:rsid w:val="00203268"/>
    <w:rsid w:val="00270F79"/>
    <w:rsid w:val="002939A1"/>
    <w:rsid w:val="00293A94"/>
    <w:rsid w:val="002B1B81"/>
    <w:rsid w:val="002B57BE"/>
    <w:rsid w:val="002F4928"/>
    <w:rsid w:val="0030653C"/>
    <w:rsid w:val="00384213"/>
    <w:rsid w:val="00390925"/>
    <w:rsid w:val="003C1C56"/>
    <w:rsid w:val="003D242A"/>
    <w:rsid w:val="00456245"/>
    <w:rsid w:val="004605DF"/>
    <w:rsid w:val="004643D7"/>
    <w:rsid w:val="00482441"/>
    <w:rsid w:val="005405FD"/>
    <w:rsid w:val="005604F6"/>
    <w:rsid w:val="0058144C"/>
    <w:rsid w:val="00583B1A"/>
    <w:rsid w:val="00591AAB"/>
    <w:rsid w:val="005A42F4"/>
    <w:rsid w:val="005A72E0"/>
    <w:rsid w:val="005C26EB"/>
    <w:rsid w:val="00613062"/>
    <w:rsid w:val="00656DEF"/>
    <w:rsid w:val="00675EE6"/>
    <w:rsid w:val="0069258D"/>
    <w:rsid w:val="006A3F1A"/>
    <w:rsid w:val="006C5A5C"/>
    <w:rsid w:val="00700673"/>
    <w:rsid w:val="007204F7"/>
    <w:rsid w:val="007453E2"/>
    <w:rsid w:val="0076204A"/>
    <w:rsid w:val="00765697"/>
    <w:rsid w:val="007D2058"/>
    <w:rsid w:val="007D5925"/>
    <w:rsid w:val="007E299C"/>
    <w:rsid w:val="008113B4"/>
    <w:rsid w:val="00815D07"/>
    <w:rsid w:val="008675D6"/>
    <w:rsid w:val="008811BB"/>
    <w:rsid w:val="008E737E"/>
    <w:rsid w:val="0092266C"/>
    <w:rsid w:val="0094375D"/>
    <w:rsid w:val="009462EC"/>
    <w:rsid w:val="00961FA0"/>
    <w:rsid w:val="00996C3B"/>
    <w:rsid w:val="009B5148"/>
    <w:rsid w:val="009B5216"/>
    <w:rsid w:val="009E4038"/>
    <w:rsid w:val="009E5891"/>
    <w:rsid w:val="00A17776"/>
    <w:rsid w:val="00A33021"/>
    <w:rsid w:val="00AB525C"/>
    <w:rsid w:val="00AF2115"/>
    <w:rsid w:val="00AF7AF7"/>
    <w:rsid w:val="00B21E60"/>
    <w:rsid w:val="00B27204"/>
    <w:rsid w:val="00B75C91"/>
    <w:rsid w:val="00B933B7"/>
    <w:rsid w:val="00BA43DF"/>
    <w:rsid w:val="00BB6485"/>
    <w:rsid w:val="00BF4E01"/>
    <w:rsid w:val="00C03372"/>
    <w:rsid w:val="00C03F28"/>
    <w:rsid w:val="00C50E19"/>
    <w:rsid w:val="00C65DEA"/>
    <w:rsid w:val="00C7459B"/>
    <w:rsid w:val="00CF026C"/>
    <w:rsid w:val="00D144DA"/>
    <w:rsid w:val="00D73EC8"/>
    <w:rsid w:val="00D9035B"/>
    <w:rsid w:val="00E11C1D"/>
    <w:rsid w:val="00E23218"/>
    <w:rsid w:val="00E540D6"/>
    <w:rsid w:val="00E576B6"/>
    <w:rsid w:val="00E635B4"/>
    <w:rsid w:val="00E774B3"/>
    <w:rsid w:val="00E91FBA"/>
    <w:rsid w:val="00EA506B"/>
    <w:rsid w:val="00EC2081"/>
    <w:rsid w:val="00EE0FFE"/>
    <w:rsid w:val="00F0222B"/>
    <w:rsid w:val="00F23579"/>
    <w:rsid w:val="00F52C4B"/>
    <w:rsid w:val="00F57493"/>
    <w:rsid w:val="00F60734"/>
    <w:rsid w:val="00F650B8"/>
    <w:rsid w:val="00F71FB4"/>
    <w:rsid w:val="00FB1227"/>
    <w:rsid w:val="00FC4B3D"/>
    <w:rsid w:val="00FD7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FAA138"/>
  <w15:docId w15:val="{C377A8AB-AB48-4002-B218-D971B721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C20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081"/>
    <w:pPr>
      <w:ind w:left="720"/>
      <w:contextualSpacing/>
    </w:pPr>
  </w:style>
  <w:style w:type="paragraph" w:styleId="EndnoteText">
    <w:name w:val="endnote text"/>
    <w:basedOn w:val="Normal"/>
    <w:link w:val="EndnoteTextChar"/>
    <w:uiPriority w:val="99"/>
    <w:semiHidden/>
    <w:unhideWhenUsed/>
    <w:rsid w:val="00EC20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C2081"/>
    <w:rPr>
      <w:sz w:val="20"/>
      <w:szCs w:val="20"/>
    </w:rPr>
  </w:style>
  <w:style w:type="character" w:styleId="EndnoteReference">
    <w:name w:val="endnote reference"/>
    <w:basedOn w:val="DefaultParagraphFont"/>
    <w:uiPriority w:val="99"/>
    <w:semiHidden/>
    <w:unhideWhenUsed/>
    <w:rsid w:val="00EC2081"/>
    <w:rPr>
      <w:vertAlign w:val="superscript"/>
    </w:rPr>
  </w:style>
  <w:style w:type="character" w:styleId="FootnoteReference">
    <w:name w:val="footnote reference"/>
    <w:uiPriority w:val="99"/>
    <w:rsid w:val="00EC2081"/>
    <w:rPr>
      <w:vertAlign w:val="superscript"/>
    </w:rPr>
  </w:style>
  <w:style w:type="paragraph" w:styleId="FootnoteText">
    <w:name w:val="footnote text"/>
    <w:basedOn w:val="Normal"/>
    <w:link w:val="FootnoteTextChar"/>
    <w:uiPriority w:val="99"/>
    <w:rsid w:val="00EC2081"/>
    <w:pPr>
      <w:suppressAutoHyphens/>
      <w:spacing w:after="0" w:line="240" w:lineRule="auto"/>
    </w:pPr>
    <w:rPr>
      <w:rFonts w:ascii="Calibri" w:eastAsia="Calibri" w:hAnsi="Calibri" w:cs="Calibri"/>
      <w:sz w:val="20"/>
      <w:szCs w:val="20"/>
      <w:lang w:val="it-IT" w:eastAsia="ar-SA"/>
    </w:rPr>
  </w:style>
  <w:style w:type="character" w:customStyle="1" w:styleId="FootnoteTextChar">
    <w:name w:val="Footnote Text Char"/>
    <w:basedOn w:val="DefaultParagraphFont"/>
    <w:link w:val="FootnoteText"/>
    <w:uiPriority w:val="99"/>
    <w:rsid w:val="00EC2081"/>
    <w:rPr>
      <w:rFonts w:ascii="Calibri" w:eastAsia="Calibri" w:hAnsi="Calibri" w:cs="Calibri"/>
      <w:sz w:val="20"/>
      <w:szCs w:val="20"/>
      <w:lang w:val="it-IT" w:eastAsia="ar-SA"/>
    </w:rPr>
  </w:style>
  <w:style w:type="character" w:styleId="Hyperlink">
    <w:name w:val="Hyperlink"/>
    <w:basedOn w:val="DefaultParagraphFont"/>
    <w:uiPriority w:val="99"/>
    <w:unhideWhenUsed/>
    <w:rsid w:val="00293A94"/>
    <w:rPr>
      <w:color w:val="0563C1" w:themeColor="hyperlink"/>
      <w:u w:val="single"/>
    </w:rPr>
  </w:style>
  <w:style w:type="character" w:styleId="CommentReference">
    <w:name w:val="annotation reference"/>
    <w:basedOn w:val="DefaultParagraphFont"/>
    <w:uiPriority w:val="99"/>
    <w:semiHidden/>
    <w:unhideWhenUsed/>
    <w:rsid w:val="00C50E19"/>
    <w:rPr>
      <w:sz w:val="18"/>
      <w:szCs w:val="18"/>
    </w:rPr>
  </w:style>
  <w:style w:type="paragraph" w:styleId="CommentText">
    <w:name w:val="annotation text"/>
    <w:basedOn w:val="Normal"/>
    <w:link w:val="CommentTextChar"/>
    <w:uiPriority w:val="99"/>
    <w:unhideWhenUsed/>
    <w:rsid w:val="00C50E19"/>
    <w:pPr>
      <w:spacing w:line="240" w:lineRule="auto"/>
    </w:pPr>
    <w:rPr>
      <w:sz w:val="24"/>
      <w:szCs w:val="24"/>
    </w:rPr>
  </w:style>
  <w:style w:type="character" w:customStyle="1" w:styleId="CommentTextChar">
    <w:name w:val="Comment Text Char"/>
    <w:basedOn w:val="DefaultParagraphFont"/>
    <w:link w:val="CommentText"/>
    <w:uiPriority w:val="99"/>
    <w:rsid w:val="00C50E19"/>
    <w:rPr>
      <w:sz w:val="24"/>
      <w:szCs w:val="24"/>
    </w:rPr>
  </w:style>
  <w:style w:type="paragraph" w:styleId="CommentSubject">
    <w:name w:val="annotation subject"/>
    <w:basedOn w:val="CommentText"/>
    <w:next w:val="CommentText"/>
    <w:link w:val="CommentSubjectChar"/>
    <w:uiPriority w:val="99"/>
    <w:semiHidden/>
    <w:unhideWhenUsed/>
    <w:rsid w:val="00C50E19"/>
    <w:rPr>
      <w:b/>
      <w:bCs/>
      <w:sz w:val="20"/>
      <w:szCs w:val="20"/>
    </w:rPr>
  </w:style>
  <w:style w:type="character" w:customStyle="1" w:styleId="CommentSubjectChar">
    <w:name w:val="Comment Subject Char"/>
    <w:basedOn w:val="CommentTextChar"/>
    <w:link w:val="CommentSubject"/>
    <w:uiPriority w:val="99"/>
    <w:semiHidden/>
    <w:rsid w:val="00C50E19"/>
    <w:rPr>
      <w:b/>
      <w:bCs/>
      <w:sz w:val="20"/>
      <w:szCs w:val="20"/>
    </w:rPr>
  </w:style>
  <w:style w:type="paragraph" w:styleId="BalloonText">
    <w:name w:val="Balloon Text"/>
    <w:basedOn w:val="Normal"/>
    <w:link w:val="BalloonTextChar"/>
    <w:uiPriority w:val="99"/>
    <w:semiHidden/>
    <w:unhideWhenUsed/>
    <w:rsid w:val="00C50E1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50E19"/>
    <w:rPr>
      <w:rFonts w:ascii="Lucida Grande" w:hAnsi="Lucida Grande"/>
      <w:sz w:val="18"/>
      <w:szCs w:val="18"/>
    </w:rPr>
  </w:style>
  <w:style w:type="paragraph" w:styleId="Header">
    <w:name w:val="header"/>
    <w:basedOn w:val="Normal"/>
    <w:link w:val="HeaderChar"/>
    <w:uiPriority w:val="99"/>
    <w:unhideWhenUsed/>
    <w:rsid w:val="00946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2EC"/>
  </w:style>
  <w:style w:type="paragraph" w:styleId="Footer">
    <w:name w:val="footer"/>
    <w:basedOn w:val="Normal"/>
    <w:link w:val="FooterChar"/>
    <w:uiPriority w:val="99"/>
    <w:unhideWhenUsed/>
    <w:rsid w:val="00946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248593">
      <w:bodyDiv w:val="1"/>
      <w:marLeft w:val="0"/>
      <w:marRight w:val="0"/>
      <w:marTop w:val="0"/>
      <w:marBottom w:val="0"/>
      <w:divBdr>
        <w:top w:val="none" w:sz="0" w:space="0" w:color="auto"/>
        <w:left w:val="none" w:sz="0" w:space="0" w:color="auto"/>
        <w:bottom w:val="none" w:sz="0" w:space="0" w:color="auto"/>
        <w:right w:val="none" w:sz="0" w:space="0" w:color="auto"/>
      </w:divBdr>
      <w:divsChild>
        <w:div w:id="1237742535">
          <w:marLeft w:val="288"/>
          <w:marRight w:val="0"/>
          <w:marTop w:val="28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229-018-02046-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FD2F7-1F59-4289-96C5-BAD3C003C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7792</Words>
  <Characters>44416</Characters>
  <Application>Microsoft Office Word</Application>
  <DocSecurity>0</DocSecurity>
  <Lines>370</Lines>
  <Paragraphs>104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52104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 Coliva</dc:creator>
  <cp:keywords/>
  <dc:description/>
  <cp:lastModifiedBy>Annalisa</cp:lastModifiedBy>
  <cp:revision>3</cp:revision>
  <dcterms:created xsi:type="dcterms:W3CDTF">2020-07-14T19:30:00Z</dcterms:created>
  <dcterms:modified xsi:type="dcterms:W3CDTF">2020-07-14T19:34:00Z</dcterms:modified>
</cp:coreProperties>
</file>