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EF9" w:rsidRPr="00F01F5C" w:rsidRDefault="00AD19CC" w:rsidP="004C6263">
      <w:pPr>
        <w:spacing w:line="480" w:lineRule="auto"/>
        <w:jc w:val="both"/>
        <w:rPr>
          <w:b/>
        </w:rPr>
      </w:pPr>
      <w:r w:rsidRPr="00F01F5C">
        <w:rPr>
          <w:b/>
        </w:rPr>
        <w:t xml:space="preserve">Which hinge </w:t>
      </w:r>
      <w:r w:rsidR="00783B98" w:rsidRPr="00F01F5C">
        <w:rPr>
          <w:b/>
        </w:rPr>
        <w:t xml:space="preserve">epistemology </w:t>
      </w:r>
      <w:r w:rsidRPr="00F01F5C">
        <w:rPr>
          <w:b/>
        </w:rPr>
        <w:t xml:space="preserve">between animal, </w:t>
      </w:r>
      <w:proofErr w:type="spellStart"/>
      <w:r w:rsidRPr="00F01F5C">
        <w:rPr>
          <w:b/>
        </w:rPr>
        <w:t>bioscopic</w:t>
      </w:r>
      <w:proofErr w:type="spellEnd"/>
      <w:r w:rsidRPr="00F01F5C">
        <w:rPr>
          <w:b/>
        </w:rPr>
        <w:t xml:space="preserve"> and </w:t>
      </w:r>
      <w:proofErr w:type="spellStart"/>
      <w:r w:rsidRPr="00F01F5C">
        <w:rPr>
          <w:b/>
        </w:rPr>
        <w:t>constitutivist</w:t>
      </w:r>
      <w:proofErr w:type="spellEnd"/>
      <w:r w:rsidRPr="00F01F5C">
        <w:rPr>
          <w:b/>
        </w:rPr>
        <w:t>?</w:t>
      </w:r>
      <w:r w:rsidR="00464413">
        <w:rPr>
          <w:rStyle w:val="FootnoteReference"/>
          <w:b/>
        </w:rPr>
        <w:footnoteReference w:customMarkFollows="1" w:id="1"/>
        <w:t>*</w:t>
      </w:r>
    </w:p>
    <w:p w:rsidR="00AD19CC" w:rsidRPr="00F01F5C" w:rsidRDefault="00AD19CC" w:rsidP="004C6263">
      <w:pPr>
        <w:spacing w:line="480" w:lineRule="auto"/>
        <w:jc w:val="both"/>
        <w:rPr>
          <w:lang w:val="it-IT"/>
        </w:rPr>
      </w:pPr>
      <w:r w:rsidRPr="00F01F5C">
        <w:rPr>
          <w:lang w:val="it-IT"/>
        </w:rPr>
        <w:t>Annalisa Coliva</w:t>
      </w:r>
    </w:p>
    <w:p w:rsidR="00AD19CC" w:rsidRPr="00F01F5C" w:rsidRDefault="00AD19CC" w:rsidP="004C6263">
      <w:pPr>
        <w:spacing w:line="480" w:lineRule="auto"/>
        <w:jc w:val="both"/>
        <w:rPr>
          <w:lang w:val="it-IT"/>
        </w:rPr>
      </w:pPr>
      <w:r w:rsidRPr="00F01F5C">
        <w:rPr>
          <w:lang w:val="it-IT"/>
        </w:rPr>
        <w:t>University of California, Irvine</w:t>
      </w:r>
    </w:p>
    <w:p w:rsidR="00AD19CC" w:rsidRPr="00F01F5C" w:rsidRDefault="00AD19CC" w:rsidP="004C6263">
      <w:pPr>
        <w:spacing w:line="480" w:lineRule="auto"/>
        <w:jc w:val="both"/>
        <w:rPr>
          <w:lang w:val="it-IT"/>
        </w:rPr>
      </w:pPr>
    </w:p>
    <w:p w:rsidR="007D0FD1" w:rsidRPr="0009478A" w:rsidRDefault="00AD19CC" w:rsidP="004C6263">
      <w:pPr>
        <w:spacing w:after="0" w:line="480" w:lineRule="auto"/>
        <w:jc w:val="both"/>
        <w:rPr>
          <w:b/>
        </w:rPr>
      </w:pPr>
      <w:r w:rsidRPr="00F01F5C">
        <w:rPr>
          <w:b/>
        </w:rPr>
        <w:t>1. Some basic methodological considerations</w:t>
      </w:r>
    </w:p>
    <w:p w:rsidR="007D0FD1" w:rsidRPr="00F01F5C" w:rsidRDefault="007D0FD1" w:rsidP="004C6263">
      <w:pPr>
        <w:spacing w:after="0" w:line="480" w:lineRule="auto"/>
        <w:jc w:val="both"/>
      </w:pPr>
      <w:r w:rsidRPr="00F01F5C">
        <w:t xml:space="preserve">Hinge epistemology </w:t>
      </w:r>
      <w:r w:rsidR="001916A0" w:rsidRPr="00F01F5C">
        <w:t xml:space="preserve">(henceforth, HE) </w:t>
      </w:r>
      <w:r w:rsidRPr="00F01F5C">
        <w:t xml:space="preserve">is an increasingly popular trend in contemporary philosophy. Building on Wittgenstein’s insight that justification and knowledge </w:t>
      </w:r>
      <w:r w:rsidR="00E60909" w:rsidRPr="00F01F5C">
        <w:t xml:space="preserve">always </w:t>
      </w:r>
      <w:r w:rsidRPr="00F01F5C">
        <w:t xml:space="preserve">take place within a system of assumptions, or “hinges”, hinge epistemologists have developed a number of competing accounts of </w:t>
      </w:r>
      <w:r w:rsidRPr="00F01F5C">
        <w:rPr>
          <w:i/>
        </w:rPr>
        <w:t>On Certainty</w:t>
      </w:r>
      <w:r w:rsidRPr="00F01F5C">
        <w:t xml:space="preserve"> </w:t>
      </w:r>
      <w:r w:rsidR="0027334B" w:rsidRPr="00F01F5C">
        <w:t xml:space="preserve">(henceforth, OC) </w:t>
      </w:r>
      <w:r w:rsidRPr="00F01F5C">
        <w:t xml:space="preserve">and of how best to </w:t>
      </w:r>
      <w:r w:rsidR="004C6263">
        <w:t>turn</w:t>
      </w:r>
      <w:r w:rsidRPr="00F01F5C">
        <w:t xml:space="preserve"> Wittgenstein’s original insight</w:t>
      </w:r>
      <w:r w:rsidR="00E659D2" w:rsidRPr="00F01F5C">
        <w:t>s</w:t>
      </w:r>
      <w:r w:rsidRPr="00F01F5C">
        <w:t xml:space="preserve"> into a systematic approach to </w:t>
      </w:r>
      <w:r w:rsidR="00E659D2" w:rsidRPr="00F01F5C">
        <w:t xml:space="preserve">issues concerning </w:t>
      </w:r>
      <w:r w:rsidRPr="00F01F5C">
        <w:t>justi</w:t>
      </w:r>
      <w:r w:rsidR="00E659D2" w:rsidRPr="00F01F5C">
        <w:t xml:space="preserve">fication, knowledge, skepticism, </w:t>
      </w:r>
      <w:r w:rsidRPr="00F01F5C">
        <w:t>relativism</w:t>
      </w:r>
      <w:r w:rsidR="00E659D2" w:rsidRPr="00F01F5C">
        <w:t>, disagreement, testimony</w:t>
      </w:r>
      <w:r w:rsidR="00F34971" w:rsidRPr="00F01F5C">
        <w:t>, trust, epistemic injustice, and more</w:t>
      </w:r>
      <w:r w:rsidR="00520DE1" w:rsidRPr="00F01F5C">
        <w:t>.</w:t>
      </w:r>
      <w:r w:rsidR="00520DE1" w:rsidRPr="00F01F5C">
        <w:rPr>
          <w:rStyle w:val="FootnoteReference"/>
        </w:rPr>
        <w:footnoteReference w:id="2"/>
      </w:r>
    </w:p>
    <w:p w:rsidR="007D0FD1" w:rsidRPr="00F01F5C" w:rsidRDefault="007D0FD1" w:rsidP="004C6263">
      <w:pPr>
        <w:spacing w:after="0" w:line="480" w:lineRule="auto"/>
        <w:ind w:firstLine="720"/>
        <w:jc w:val="both"/>
      </w:pPr>
      <w:r w:rsidRPr="00F01F5C">
        <w:t xml:space="preserve">Given its lineage, </w:t>
      </w:r>
      <w:r w:rsidR="001916A0" w:rsidRPr="00F01F5C">
        <w:t>HE</w:t>
      </w:r>
      <w:r w:rsidRPr="00F01F5C">
        <w:t xml:space="preserve"> is naturally also concerned with exegetical issues. </w:t>
      </w:r>
      <w:r w:rsidR="00C90ACC" w:rsidRPr="00F01F5C">
        <w:t>Not all hinge epistemologists distinguish</w:t>
      </w:r>
      <w:r w:rsidRPr="00F01F5C">
        <w:t xml:space="preserve"> carefully between claims advanced as exegetical and theses put forward </w:t>
      </w:r>
      <w:r w:rsidR="00542079">
        <w:t>as</w:t>
      </w:r>
      <w:r w:rsidRPr="00F01F5C">
        <w:t xml:space="preserve"> philosophical development</w:t>
      </w:r>
      <w:r w:rsidR="00542079">
        <w:t>s</w:t>
      </w:r>
      <w:r w:rsidRPr="00F01F5C">
        <w:t xml:space="preserve"> of Wittgenstein’s original insights.</w:t>
      </w:r>
      <w:r w:rsidR="00E659D2" w:rsidRPr="00F01F5C">
        <w:rPr>
          <w:rStyle w:val="FootnoteReference"/>
        </w:rPr>
        <w:footnoteReference w:id="3"/>
      </w:r>
      <w:r w:rsidRPr="00F01F5C">
        <w:t xml:space="preserve"> To some degree, this is to be expected because </w:t>
      </w:r>
      <w:r w:rsidR="00E659D2" w:rsidRPr="00F01F5C">
        <w:t xml:space="preserve">how one is struck by a text will reflect in the insights one will take oneself to develop in a more systematic fashion. Conversely, what strikes one in a text </w:t>
      </w:r>
      <w:r w:rsidR="00E60909" w:rsidRPr="00F01F5C">
        <w:t>is often</w:t>
      </w:r>
      <w:r w:rsidR="00E659D2" w:rsidRPr="00F01F5C">
        <w:t xml:space="preserve"> a reflection of one’s pre-existing philosophical orientation. Nonetheless, it is important to be careful </w:t>
      </w:r>
      <w:r w:rsidR="004C6263">
        <w:t>to</w:t>
      </w:r>
      <w:r w:rsidR="00E659D2" w:rsidRPr="00F01F5C">
        <w:t xml:space="preserve"> distinguish the nature of one’s claims, </w:t>
      </w:r>
      <w:r w:rsidR="00520DE1" w:rsidRPr="00F01F5C">
        <w:t xml:space="preserve">in the interest not only </w:t>
      </w:r>
      <w:r w:rsidR="004C6263" w:rsidRPr="00F01F5C">
        <w:t xml:space="preserve">of </w:t>
      </w:r>
      <w:r w:rsidR="00520DE1" w:rsidRPr="00F01F5C">
        <w:t xml:space="preserve">exegetical accuracy but also </w:t>
      </w:r>
      <w:r w:rsidR="00E659D2" w:rsidRPr="00F01F5C">
        <w:t xml:space="preserve">of what kind of evidence </w:t>
      </w:r>
      <w:r w:rsidR="00E60909" w:rsidRPr="00F01F5C">
        <w:t>should</w:t>
      </w:r>
      <w:r w:rsidR="00E659D2" w:rsidRPr="00F01F5C">
        <w:t xml:space="preserve"> be brought to bear on their assessment – whether </w:t>
      </w:r>
      <w:r w:rsidR="00E659D2" w:rsidRPr="00F01F5C">
        <w:lastRenderedPageBreak/>
        <w:t>textual and contextual</w:t>
      </w:r>
      <w:r w:rsidR="004C6263">
        <w:t>,</w:t>
      </w:r>
      <w:r w:rsidR="00E659D2" w:rsidRPr="00F01F5C">
        <w:t xml:space="preserve"> when exegesis is </w:t>
      </w:r>
      <w:r w:rsidR="00E60909" w:rsidRPr="00F01F5C">
        <w:t>concerned</w:t>
      </w:r>
      <w:r w:rsidR="004C6263">
        <w:t>,</w:t>
      </w:r>
      <w:r w:rsidR="00E659D2" w:rsidRPr="00F01F5C">
        <w:t xml:space="preserve"> or philosophical</w:t>
      </w:r>
      <w:r w:rsidR="004C6263">
        <w:t>,</w:t>
      </w:r>
      <w:r w:rsidR="00E659D2" w:rsidRPr="00F01F5C">
        <w:t xml:space="preserve"> when </w:t>
      </w:r>
      <w:r w:rsidR="00F34971" w:rsidRPr="00F01F5C">
        <w:t xml:space="preserve">more systematic </w:t>
      </w:r>
      <w:r w:rsidR="00E60909" w:rsidRPr="00F01F5C">
        <w:t xml:space="preserve">philosophical </w:t>
      </w:r>
      <w:r w:rsidR="00520DE1" w:rsidRPr="00F01F5C">
        <w:t>development</w:t>
      </w:r>
      <w:r w:rsidR="00F34971" w:rsidRPr="00F01F5C">
        <w:t xml:space="preserve"> is at issue.</w:t>
      </w:r>
    </w:p>
    <w:p w:rsidR="00AD19CC" w:rsidRPr="00F01F5C" w:rsidRDefault="00520DE1" w:rsidP="004C6263">
      <w:pPr>
        <w:spacing w:after="0" w:line="480" w:lineRule="auto"/>
        <w:ind w:firstLine="720"/>
        <w:jc w:val="both"/>
      </w:pPr>
      <w:bookmarkStart w:id="0" w:name="_GoBack"/>
      <w:r w:rsidRPr="00F01F5C">
        <w:t xml:space="preserve">In the following, I will </w:t>
      </w:r>
      <w:r w:rsidR="000B332C" w:rsidRPr="00F01F5C">
        <w:t xml:space="preserve">consider two prominent kinds of </w:t>
      </w:r>
      <w:r w:rsidR="001916A0" w:rsidRPr="00F01F5C">
        <w:t>HE</w:t>
      </w:r>
      <w:r w:rsidR="000B332C" w:rsidRPr="00F01F5C">
        <w:t>, which are excellent examples of methodological accuracy –</w:t>
      </w:r>
      <w:r w:rsidR="007D0FD1" w:rsidRPr="00F01F5C">
        <w:t xml:space="preserve"> namely, </w:t>
      </w:r>
      <w:proofErr w:type="spellStart"/>
      <w:r w:rsidR="007D0FD1" w:rsidRPr="00F01F5C">
        <w:t>Danièle</w:t>
      </w:r>
      <w:proofErr w:type="spellEnd"/>
      <w:r w:rsidR="007D0FD1" w:rsidRPr="00F01F5C">
        <w:t xml:space="preserve"> </w:t>
      </w:r>
      <w:proofErr w:type="spellStart"/>
      <w:r w:rsidR="007D0FD1" w:rsidRPr="00F01F5C">
        <w:t>Moyal</w:t>
      </w:r>
      <w:proofErr w:type="spellEnd"/>
      <w:r w:rsidR="007D0FD1" w:rsidRPr="00F01F5C">
        <w:t xml:space="preserve">-Sharrock’s </w:t>
      </w:r>
      <w:r w:rsidR="005945C1" w:rsidRPr="00F01F5C">
        <w:t xml:space="preserve">(§2) </w:t>
      </w:r>
      <w:r w:rsidR="007D0FD1" w:rsidRPr="00F01F5C">
        <w:t>and Duncan Pritchard’s</w:t>
      </w:r>
      <w:r w:rsidR="005945C1" w:rsidRPr="00F01F5C">
        <w:t xml:space="preserve"> (§3)</w:t>
      </w:r>
      <w:r w:rsidR="007D0FD1" w:rsidRPr="00F01F5C">
        <w:t xml:space="preserve">. </w:t>
      </w:r>
      <w:r w:rsidR="00417AF4" w:rsidRPr="00F01F5C">
        <w:t xml:space="preserve">Their impeccable methodology notwithstanding, I will take issue with both, and thereby defend the kind of reading of </w:t>
      </w:r>
      <w:r w:rsidR="0027334B" w:rsidRPr="00F01F5C">
        <w:t>OC</w:t>
      </w:r>
      <w:r w:rsidR="00417AF4" w:rsidRPr="00F01F5C">
        <w:t xml:space="preserve"> I proposed in Coliva (2010) and in subsequent writings, as well as </w:t>
      </w:r>
      <w:r w:rsidR="005945C1" w:rsidRPr="00F01F5C">
        <w:t xml:space="preserve">(§4) </w:t>
      </w:r>
      <w:r w:rsidR="00417AF4" w:rsidRPr="00F01F5C">
        <w:t xml:space="preserve">the kind of </w:t>
      </w:r>
      <w:proofErr w:type="spellStart"/>
      <w:r w:rsidR="00E60909" w:rsidRPr="00F01F5C">
        <w:t>constitutivist</w:t>
      </w:r>
      <w:proofErr w:type="spellEnd"/>
      <w:r w:rsidR="00E60909" w:rsidRPr="00F01F5C">
        <w:t xml:space="preserve"> </w:t>
      </w:r>
      <w:r w:rsidR="001916A0" w:rsidRPr="00F01F5C">
        <w:t>HE</w:t>
      </w:r>
      <w:r w:rsidR="00417AF4" w:rsidRPr="00F01F5C">
        <w:t xml:space="preserve"> I have bee</w:t>
      </w:r>
      <w:r w:rsidR="005945C1" w:rsidRPr="00F01F5C">
        <w:t>n proposing since Coliva (2015).</w:t>
      </w:r>
    </w:p>
    <w:bookmarkEnd w:id="0"/>
    <w:p w:rsidR="000B332C" w:rsidRPr="00F01F5C" w:rsidRDefault="000B332C" w:rsidP="004C6263">
      <w:pPr>
        <w:spacing w:after="0" w:line="480" w:lineRule="auto"/>
        <w:ind w:firstLine="360"/>
        <w:jc w:val="both"/>
      </w:pPr>
    </w:p>
    <w:p w:rsidR="00AD19CC" w:rsidRPr="00F01F5C" w:rsidRDefault="00B2082A" w:rsidP="004C6263">
      <w:pPr>
        <w:spacing w:line="480" w:lineRule="auto"/>
        <w:jc w:val="both"/>
        <w:rPr>
          <w:b/>
        </w:rPr>
      </w:pPr>
      <w:r w:rsidRPr="00F01F5C">
        <w:rPr>
          <w:b/>
        </w:rPr>
        <w:t>2</w:t>
      </w:r>
      <w:r w:rsidR="00AD19CC" w:rsidRPr="00F01F5C">
        <w:rPr>
          <w:b/>
        </w:rPr>
        <w:t xml:space="preserve">. </w:t>
      </w:r>
      <w:proofErr w:type="spellStart"/>
      <w:r w:rsidR="00AD19CC" w:rsidRPr="00F01F5C">
        <w:rPr>
          <w:b/>
        </w:rPr>
        <w:t>Moyal</w:t>
      </w:r>
      <w:proofErr w:type="spellEnd"/>
      <w:r w:rsidR="00AD19CC" w:rsidRPr="00F01F5C">
        <w:rPr>
          <w:b/>
        </w:rPr>
        <w:t>-Sharrock’s animal hinge epistemology</w:t>
      </w:r>
    </w:p>
    <w:p w:rsidR="0027334B" w:rsidRPr="00F01F5C" w:rsidRDefault="00520DE1" w:rsidP="004C6263">
      <w:pPr>
        <w:spacing w:after="0" w:line="480" w:lineRule="auto"/>
        <w:jc w:val="both"/>
      </w:pPr>
      <w:proofErr w:type="spellStart"/>
      <w:r w:rsidRPr="00F01F5C">
        <w:t>Danièle</w:t>
      </w:r>
      <w:proofErr w:type="spellEnd"/>
      <w:r w:rsidRPr="00F01F5C">
        <w:t xml:space="preserve"> </w:t>
      </w:r>
      <w:proofErr w:type="spellStart"/>
      <w:r w:rsidRPr="00F01F5C">
        <w:t>Moyal</w:t>
      </w:r>
      <w:proofErr w:type="spellEnd"/>
      <w:r w:rsidRPr="00F01F5C">
        <w:t xml:space="preserve">-Sharrock’s version of </w:t>
      </w:r>
      <w:r w:rsidR="001916A0" w:rsidRPr="00F01F5C">
        <w:t>HE</w:t>
      </w:r>
      <w:r w:rsidRPr="00F01F5C">
        <w:t xml:space="preserve"> clearly belongs to those readings of Wittgenstein’s </w:t>
      </w:r>
      <w:r w:rsidR="00C90ACC" w:rsidRPr="00F01F5C">
        <w:t>OC</w:t>
      </w:r>
      <w:r w:rsidRPr="00F01F5C">
        <w:rPr>
          <w:i/>
        </w:rPr>
        <w:t xml:space="preserve"> </w:t>
      </w:r>
      <w:r w:rsidRPr="00F01F5C">
        <w:t xml:space="preserve">that aim </w:t>
      </w:r>
      <w:r w:rsidR="00542079">
        <w:t>at exegetical accuracy</w:t>
      </w:r>
      <w:r w:rsidRPr="00F01F5C">
        <w:t xml:space="preserve">, while also bringing out the significance of this work for contemporary epistemology. I will focus on some exegetical issues first, and then turn to </w:t>
      </w:r>
      <w:proofErr w:type="spellStart"/>
      <w:r w:rsidRPr="00F01F5C">
        <w:t>Moyal</w:t>
      </w:r>
      <w:proofErr w:type="spellEnd"/>
      <w:r w:rsidRPr="00F01F5C">
        <w:t xml:space="preserve">-Sharrock’s take on the significance of </w:t>
      </w:r>
      <w:r w:rsidR="0027334B" w:rsidRPr="00F01F5C">
        <w:t>OC</w:t>
      </w:r>
      <w:r w:rsidRPr="00F01F5C">
        <w:t xml:space="preserve"> for epistemology.</w:t>
      </w:r>
      <w:r w:rsidR="0027334B" w:rsidRPr="00F01F5C">
        <w:t xml:space="preserve"> </w:t>
      </w:r>
    </w:p>
    <w:p w:rsidR="0027334B" w:rsidRPr="00F01F5C" w:rsidRDefault="00520DE1" w:rsidP="004C6263">
      <w:pPr>
        <w:spacing w:after="0" w:line="480" w:lineRule="auto"/>
        <w:ind w:firstLine="720"/>
        <w:jc w:val="both"/>
      </w:pPr>
      <w:r w:rsidRPr="00F01F5C">
        <w:t xml:space="preserve">As is </w:t>
      </w:r>
      <w:r w:rsidR="00E60909" w:rsidRPr="00F01F5C">
        <w:t>well known</w:t>
      </w:r>
      <w:r w:rsidRPr="00F01F5C">
        <w:t xml:space="preserve">, according to </w:t>
      </w:r>
      <w:proofErr w:type="spellStart"/>
      <w:r w:rsidRPr="00F01F5C">
        <w:t>Moyal</w:t>
      </w:r>
      <w:proofErr w:type="spellEnd"/>
      <w:r w:rsidRPr="00F01F5C">
        <w:t>-Sharrock</w:t>
      </w:r>
      <w:r w:rsidR="004C6263">
        <w:t xml:space="preserve"> (2005),</w:t>
      </w:r>
      <w:r w:rsidRPr="00F01F5C">
        <w:t xml:space="preserve"> hinges are rules and not propositions, since they fail at bipolarity.</w:t>
      </w:r>
      <w:r w:rsidR="0021195D" w:rsidRPr="00F01F5C">
        <w:rPr>
          <w:rStyle w:val="FootnoteReference"/>
          <w:rFonts w:cs="AdvTT3713a231"/>
          <w:color w:val="131413"/>
        </w:rPr>
        <w:footnoteReference w:id="4"/>
      </w:r>
      <w:r w:rsidRPr="00F01F5C">
        <w:t xml:space="preserve"> Furthermore, they typically go unspoken and, when they are spoken, they are mentioned only for heuristic purposes, such as teaching or reminding someone of the meaning of words, or of their indubitability, at least in context. According to </w:t>
      </w:r>
      <w:proofErr w:type="spellStart"/>
      <w:r w:rsidRPr="00F01F5C">
        <w:t>Moyal</w:t>
      </w:r>
      <w:proofErr w:type="spellEnd"/>
      <w:r w:rsidRPr="00F01F5C">
        <w:t>-Sharrock,</w:t>
      </w:r>
      <w:r w:rsidR="00C90ACC" w:rsidRPr="00F01F5C">
        <w:t xml:space="preserve"> since they aren’t propositions</w:t>
      </w:r>
      <w:r w:rsidRPr="00F01F5C">
        <w:t xml:space="preserve">, they are not </w:t>
      </w:r>
      <w:r w:rsidR="004C6263">
        <w:t>the content</w:t>
      </w:r>
      <w:r w:rsidRPr="00F01F5C">
        <w:t xml:space="preserve"> of any propositional attitude either. Our certainty with respect to them is manifested in action – that is in the way we act with total confidence</w:t>
      </w:r>
      <w:r w:rsidR="00E60909" w:rsidRPr="00F01F5C">
        <w:t>,</w:t>
      </w:r>
      <w:r w:rsidRPr="00F01F5C">
        <w:t xml:space="preserve"> </w:t>
      </w:r>
      <w:r w:rsidR="00C90ACC" w:rsidRPr="00F01F5C">
        <w:t>thereby showing</w:t>
      </w:r>
      <w:r w:rsidRPr="00F01F5C">
        <w:t xml:space="preserve"> that we take them for granted. By confidently using our hands, </w:t>
      </w:r>
      <w:r w:rsidR="003238B4" w:rsidRPr="00F01F5C">
        <w:t>for instance, we disp</w:t>
      </w:r>
      <w:r w:rsidRPr="00F01F5C">
        <w:t>l</w:t>
      </w:r>
      <w:r w:rsidR="003238B4" w:rsidRPr="00F01F5C">
        <w:t>a</w:t>
      </w:r>
      <w:r w:rsidRPr="00F01F5C">
        <w:t xml:space="preserve">y in action the fact that we take it for granted that we have hands (when we do); by engaging in story-telling, history, geology, and more, we display the fact that we take it for granted that the earth has </w:t>
      </w:r>
      <w:r w:rsidRPr="00F01F5C">
        <w:lastRenderedPageBreak/>
        <w:t>existed for a very long time, etc.</w:t>
      </w:r>
      <w:r w:rsidR="004547C6" w:rsidRPr="00F01F5C">
        <w:t xml:space="preserve"> </w:t>
      </w:r>
      <w:r w:rsidR="005A1A60" w:rsidRPr="00F01F5C">
        <w:t xml:space="preserve">Furthermore, </w:t>
      </w:r>
      <w:r w:rsidR="00C90ACC" w:rsidRPr="00F01F5C">
        <w:t xml:space="preserve">according to </w:t>
      </w:r>
      <w:proofErr w:type="spellStart"/>
      <w:r w:rsidR="00C90ACC" w:rsidRPr="00F01F5C">
        <w:t>Moyal</w:t>
      </w:r>
      <w:proofErr w:type="spellEnd"/>
      <w:r w:rsidR="00C90ACC" w:rsidRPr="00F01F5C">
        <w:t xml:space="preserve">-Sharrock, </w:t>
      </w:r>
      <w:r w:rsidR="005A1A60" w:rsidRPr="00F01F5C">
        <w:t xml:space="preserve">when we have the impression that a hinge could actually be subject to semantic and epistemic appraisal, it is because its empirical </w:t>
      </w:r>
      <w:proofErr w:type="gramStart"/>
      <w:r w:rsidR="00C20689" w:rsidRPr="00F01F5C">
        <w:t xml:space="preserve">doppelgänger </w:t>
      </w:r>
      <w:r w:rsidR="005A1A60" w:rsidRPr="00F01F5C">
        <w:t xml:space="preserve"> is</w:t>
      </w:r>
      <w:proofErr w:type="gramEnd"/>
      <w:r w:rsidR="005A1A60" w:rsidRPr="00F01F5C">
        <w:t xml:space="preserve"> being considered instead. For instance, </w:t>
      </w:r>
      <w:r w:rsidR="00C90ACC" w:rsidRPr="00F01F5C">
        <w:t xml:space="preserve">when Wittgenstein was considering it, </w:t>
      </w:r>
      <w:r w:rsidR="004C6263">
        <w:t xml:space="preserve">the </w:t>
      </w:r>
      <w:r w:rsidR="004C6263" w:rsidRPr="00F01F5C">
        <w:t xml:space="preserve">sentence </w:t>
      </w:r>
      <w:r w:rsidR="005A1A60" w:rsidRPr="00F01F5C">
        <w:t xml:space="preserve">“Nobody has ever been on the Moon” was expressing </w:t>
      </w:r>
      <w:r w:rsidR="004C6263" w:rsidRPr="00F01F5C">
        <w:t>a hinge</w:t>
      </w:r>
      <w:r w:rsidR="005A1A60" w:rsidRPr="00F01F5C">
        <w:t>. Now, in contrast, by that sentence, we no longer express a rule but an empirical proposition, we know to be false, based on a lot of empirical evidence.</w:t>
      </w:r>
      <w:r w:rsidR="0027334B" w:rsidRPr="00F01F5C">
        <w:t xml:space="preserve"> </w:t>
      </w:r>
    </w:p>
    <w:p w:rsidR="0027334B" w:rsidRPr="00F01F5C" w:rsidRDefault="004547C6" w:rsidP="004C6263">
      <w:pPr>
        <w:spacing w:after="0" w:line="480" w:lineRule="auto"/>
        <w:ind w:firstLine="720"/>
        <w:jc w:val="both"/>
      </w:pPr>
      <w:r w:rsidRPr="00F01F5C">
        <w:t xml:space="preserve">According to </w:t>
      </w:r>
      <w:proofErr w:type="spellStart"/>
      <w:r w:rsidRPr="00F01F5C">
        <w:t>Moyal</w:t>
      </w:r>
      <w:proofErr w:type="spellEnd"/>
      <w:r w:rsidRPr="00F01F5C">
        <w:t xml:space="preserve">-Sharrock, the significance of </w:t>
      </w:r>
      <w:r w:rsidR="001050A2" w:rsidRPr="00F01F5C">
        <w:t>OC</w:t>
      </w:r>
      <w:r w:rsidRPr="00F01F5C">
        <w:t xml:space="preserve"> for epistemology lies in the fact that it presents an entirely new and </w:t>
      </w:r>
      <w:r w:rsidRPr="00F01F5C">
        <w:rPr>
          <w:i/>
        </w:rPr>
        <w:t>sui generis</w:t>
      </w:r>
      <w:r w:rsidRPr="00F01F5C">
        <w:t xml:space="preserve"> form of foundationalism. At the basis of all our knowledge and justification are hinges</w:t>
      </w:r>
      <w:r w:rsidR="00356C1C" w:rsidRPr="00F01F5C">
        <w:t>,</w:t>
      </w:r>
      <w:r w:rsidRPr="00F01F5C">
        <w:t xml:space="preserve"> which are not propositional in nature and with respect to which we bear a form of animal certainty</w:t>
      </w:r>
      <w:r w:rsidR="00D23C1E" w:rsidRPr="00F01F5C">
        <w:t>,</w:t>
      </w:r>
      <w:r w:rsidRPr="00F01F5C">
        <w:t xml:space="preserve"> which is enacted in our everyday actions. Thus, the quest for justifications does not lead to an infinite regress, or to circular justifications. Rather, it ends with the recognition of basic elements – hinges –</w:t>
      </w:r>
      <w:r w:rsidR="00D23C1E" w:rsidRPr="00F01F5C">
        <w:t>,</w:t>
      </w:r>
      <w:r w:rsidRPr="00F01F5C">
        <w:t xml:space="preserve"> which are semantically discontinuous with respect to the rest of our beliefs </w:t>
      </w:r>
      <w:r w:rsidR="003238B4" w:rsidRPr="00F01F5C">
        <w:t>and propositional</w:t>
      </w:r>
      <w:r w:rsidRPr="00F01F5C">
        <w:t xml:space="preserve"> knowledge, and with the recognition of the fact that such hinges are not apt for justification and knowledge or certainty, traditionally understood along Cartesian propositiona</w:t>
      </w:r>
      <w:r w:rsidR="005A1A60" w:rsidRPr="00F01F5C">
        <w:t>l</w:t>
      </w:r>
      <w:r w:rsidRPr="00F01F5C">
        <w:t xml:space="preserve"> and epistemic lines. Rather, the attitude we bear towards them is one of certainty in a more basic, animal and enacted sense. To ask for justification for hinges and for our certainty with respect to them would </w:t>
      </w:r>
      <w:r w:rsidR="003238B4" w:rsidRPr="00F01F5C">
        <w:t xml:space="preserve">thus </w:t>
      </w:r>
      <w:r w:rsidRPr="00F01F5C">
        <w:t>betray a double categorial mistake consisting in conflating hinges with ordinary empirical propositions (or even with empirical generalizations) and animal certainty with epistemic certainty.</w:t>
      </w:r>
      <w:r w:rsidR="0027334B" w:rsidRPr="00F01F5C">
        <w:t xml:space="preserve"> </w:t>
      </w:r>
    </w:p>
    <w:p w:rsidR="00AE1F0A" w:rsidRPr="00F01F5C" w:rsidRDefault="003238B4" w:rsidP="004C6263">
      <w:pPr>
        <w:spacing w:after="0" w:line="480" w:lineRule="auto"/>
        <w:ind w:firstLine="720"/>
        <w:jc w:val="both"/>
      </w:pPr>
      <w:r w:rsidRPr="00F01F5C">
        <w:t xml:space="preserve">In the following, I will put forward some criticisms of </w:t>
      </w:r>
      <w:proofErr w:type="spellStart"/>
      <w:r w:rsidRPr="00F01F5C">
        <w:t>Moyal</w:t>
      </w:r>
      <w:proofErr w:type="spellEnd"/>
      <w:r w:rsidRPr="00F01F5C">
        <w:t xml:space="preserve">-Sharrock’s reading </w:t>
      </w:r>
      <w:r w:rsidR="00417AF4" w:rsidRPr="00F01F5C">
        <w:t xml:space="preserve">mostly </w:t>
      </w:r>
      <w:r w:rsidR="004C6263" w:rsidRPr="00F01F5C">
        <w:t xml:space="preserve">from </w:t>
      </w:r>
      <w:r w:rsidRPr="00F01F5C">
        <w:t>an exe</w:t>
      </w:r>
      <w:r w:rsidR="00356C1C" w:rsidRPr="00F01F5C">
        <w:t xml:space="preserve">getical point of view. </w:t>
      </w:r>
      <w:r w:rsidR="00D147BA" w:rsidRPr="00F01F5C">
        <w:rPr>
          <w:rFonts w:cs="AdvTT3713a231"/>
          <w:color w:val="131413"/>
        </w:rPr>
        <w:t xml:space="preserve">As I have </w:t>
      </w:r>
      <w:r w:rsidR="005A1A60" w:rsidRPr="00F01F5C">
        <w:rPr>
          <w:rFonts w:cs="AdvTT3713a231"/>
          <w:color w:val="131413"/>
        </w:rPr>
        <w:t>observed</w:t>
      </w:r>
      <w:r w:rsidR="00D147BA" w:rsidRPr="00F01F5C">
        <w:rPr>
          <w:rFonts w:cs="AdvTT3713a231"/>
          <w:color w:val="131413"/>
        </w:rPr>
        <w:t xml:space="preserve"> elsewhere,</w:t>
      </w:r>
      <w:r w:rsidR="0021195D" w:rsidRPr="00F01F5C">
        <w:rPr>
          <w:rStyle w:val="FootnoteReference"/>
          <w:rFonts w:cs="AdvTT3713a231"/>
          <w:color w:val="131413"/>
        </w:rPr>
        <w:footnoteReference w:id="5"/>
      </w:r>
      <w:r w:rsidR="00D147BA" w:rsidRPr="00F01F5C">
        <w:rPr>
          <w:rFonts w:cs="AdvTT3713a231"/>
          <w:color w:val="131413"/>
        </w:rPr>
        <w:t xml:space="preserve"> </w:t>
      </w:r>
      <w:r w:rsidR="00AD19CC" w:rsidRPr="00F01F5C">
        <w:rPr>
          <w:rFonts w:cs="AdvTT3713a231"/>
          <w:color w:val="131413"/>
        </w:rPr>
        <w:t xml:space="preserve">by the time of </w:t>
      </w:r>
      <w:r w:rsidR="0027334B" w:rsidRPr="00F01F5C">
        <w:rPr>
          <w:rFonts w:cs="AdvTT3713a231"/>
          <w:color w:val="131413"/>
        </w:rPr>
        <w:t>OC</w:t>
      </w:r>
      <w:r w:rsidR="00AD19CC" w:rsidRPr="00F01F5C">
        <w:rPr>
          <w:rFonts w:cs="AdvTT3713a231"/>
          <w:color w:val="131413"/>
        </w:rPr>
        <w:t xml:space="preserve">, the term </w:t>
      </w:r>
      <w:r w:rsidR="00AD19CC" w:rsidRPr="00F01F5C">
        <w:rPr>
          <w:rFonts w:cs="AdvTT3713a231+20"/>
          <w:color w:val="131413"/>
        </w:rPr>
        <w:t>“</w:t>
      </w:r>
      <w:r w:rsidR="00AD19CC" w:rsidRPr="00F01F5C">
        <w:rPr>
          <w:rFonts w:cs="AdvTT3713a231"/>
          <w:color w:val="131413"/>
        </w:rPr>
        <w:t>proposition</w:t>
      </w:r>
      <w:r w:rsidR="00AD19CC" w:rsidRPr="00F01F5C">
        <w:rPr>
          <w:rFonts w:cs="AdvTT3713a231+20"/>
          <w:color w:val="131413"/>
        </w:rPr>
        <w:t xml:space="preserve">” </w:t>
      </w:r>
      <w:r w:rsidR="00AD19CC" w:rsidRPr="00F01F5C">
        <w:rPr>
          <w:rFonts w:cs="AdvTT3713a231"/>
          <w:color w:val="131413"/>
        </w:rPr>
        <w:t>(</w:t>
      </w:r>
      <w:proofErr w:type="spellStart"/>
      <w:r w:rsidR="00AD19CC" w:rsidRPr="00F01F5C">
        <w:rPr>
          <w:rFonts w:cs="AdvTT50a2f13e.I"/>
          <w:i/>
          <w:color w:val="131413"/>
        </w:rPr>
        <w:t>Satz</w:t>
      </w:r>
      <w:proofErr w:type="spellEnd"/>
      <w:r w:rsidR="00D147BA" w:rsidRPr="00F01F5C">
        <w:rPr>
          <w:rFonts w:cs="AdvTT3713a231"/>
          <w:color w:val="131413"/>
        </w:rPr>
        <w:t xml:space="preserve">) </w:t>
      </w:r>
      <w:r w:rsidR="00AD19CC" w:rsidRPr="00F01F5C">
        <w:rPr>
          <w:rFonts w:cs="AdvTT3713a231"/>
          <w:color w:val="131413"/>
        </w:rPr>
        <w:t xml:space="preserve">had come to express a </w:t>
      </w:r>
      <w:proofErr w:type="gramStart"/>
      <w:r w:rsidR="00AD19CC" w:rsidRPr="00F01F5C">
        <w:rPr>
          <w:rFonts w:cs="AdvTT3713a231"/>
          <w:color w:val="131413"/>
        </w:rPr>
        <w:t>fairly relaxed</w:t>
      </w:r>
      <w:proofErr w:type="gramEnd"/>
      <w:r w:rsidR="00AD19CC" w:rsidRPr="00F01F5C">
        <w:rPr>
          <w:rFonts w:cs="AdvTT3713a231"/>
          <w:color w:val="131413"/>
        </w:rPr>
        <w:t xml:space="preserve"> notion in Wittgenstein</w:t>
      </w:r>
      <w:r w:rsidR="00AD19CC" w:rsidRPr="00F01F5C">
        <w:rPr>
          <w:rFonts w:cs="AdvTT3713a231+20"/>
          <w:color w:val="131413"/>
        </w:rPr>
        <w:t>’</w:t>
      </w:r>
      <w:r w:rsidR="00D147BA" w:rsidRPr="00F01F5C">
        <w:rPr>
          <w:rFonts w:cs="AdvTT3713a231"/>
          <w:color w:val="131413"/>
        </w:rPr>
        <w:t xml:space="preserve">s writings. </w:t>
      </w:r>
      <w:r w:rsidR="00AE1F0A" w:rsidRPr="00F01F5C">
        <w:rPr>
          <w:rFonts w:cs="AdvTT3713a231"/>
          <w:color w:val="131413"/>
        </w:rPr>
        <w:t>In OC 318-20 Wittgenstein writes:</w:t>
      </w:r>
    </w:p>
    <w:p w:rsidR="00AE1F0A" w:rsidRPr="00F01F5C" w:rsidRDefault="00AE1F0A" w:rsidP="004C6263">
      <w:pPr>
        <w:autoSpaceDE w:val="0"/>
        <w:autoSpaceDN w:val="0"/>
        <w:adjustRightInd w:val="0"/>
        <w:spacing w:after="0" w:line="480" w:lineRule="auto"/>
        <w:jc w:val="both"/>
        <w:rPr>
          <w:rFonts w:cs="AdvTT3713a231"/>
          <w:color w:val="131413"/>
        </w:rPr>
      </w:pPr>
    </w:p>
    <w:p w:rsidR="00AE1F0A" w:rsidRPr="00F01F5C" w:rsidRDefault="00AE1F0A" w:rsidP="004C6263">
      <w:pPr>
        <w:autoSpaceDE w:val="0"/>
        <w:autoSpaceDN w:val="0"/>
        <w:adjustRightInd w:val="0"/>
        <w:spacing w:after="0" w:line="480" w:lineRule="auto"/>
        <w:ind w:left="567"/>
        <w:jc w:val="both"/>
        <w:rPr>
          <w:rFonts w:cs="AdvTT3713a231"/>
          <w:color w:val="131413"/>
        </w:rPr>
      </w:pPr>
      <w:r w:rsidRPr="00F01F5C">
        <w:rPr>
          <w:rFonts w:cs="AdvTT3713a231+20"/>
          <w:color w:val="131413"/>
        </w:rPr>
        <w:t>‘</w:t>
      </w:r>
      <w:r w:rsidRPr="00F01F5C">
        <w:rPr>
          <w:rFonts w:cs="AdvTT3713a231"/>
          <w:color w:val="131413"/>
        </w:rPr>
        <w:t>The question doesn</w:t>
      </w:r>
      <w:r w:rsidRPr="00F01F5C">
        <w:rPr>
          <w:rFonts w:cs="AdvTT3713a231+20"/>
          <w:color w:val="131413"/>
        </w:rPr>
        <w:t>’</w:t>
      </w:r>
      <w:r w:rsidRPr="00F01F5C">
        <w:rPr>
          <w:rFonts w:cs="AdvTT3713a231"/>
          <w:color w:val="131413"/>
        </w:rPr>
        <w:t>t arise at all.</w:t>
      </w:r>
      <w:r w:rsidRPr="00F01F5C">
        <w:rPr>
          <w:rFonts w:cs="AdvTT3713a231+20"/>
          <w:color w:val="131413"/>
        </w:rPr>
        <w:t xml:space="preserve">’ </w:t>
      </w:r>
      <w:r w:rsidRPr="00F01F5C">
        <w:rPr>
          <w:rFonts w:cs="AdvTT3713a231"/>
          <w:color w:val="131413"/>
        </w:rPr>
        <w:t xml:space="preserve">Its answer would characterize a </w:t>
      </w:r>
      <w:r w:rsidRPr="00F01F5C">
        <w:rPr>
          <w:rFonts w:cs="AdvTT50a2f13e.I"/>
          <w:color w:val="131413"/>
        </w:rPr>
        <w:t>method</w:t>
      </w:r>
      <w:r w:rsidRPr="00F01F5C">
        <w:rPr>
          <w:rFonts w:cs="AdvTT3713a231"/>
          <w:color w:val="131413"/>
        </w:rPr>
        <w:t>. But there is no sharp boundary between methodological propositions and propositions within a method. But wouldn</w:t>
      </w:r>
      <w:r w:rsidRPr="00F01F5C">
        <w:rPr>
          <w:rFonts w:cs="AdvTT3713a231+20"/>
          <w:color w:val="131413"/>
        </w:rPr>
        <w:t>’</w:t>
      </w:r>
      <w:r w:rsidRPr="00F01F5C">
        <w:rPr>
          <w:rFonts w:cs="AdvTT3713a231"/>
          <w:color w:val="131413"/>
        </w:rPr>
        <w:t xml:space="preserve">t one have to say then, that there is no sharp boundary between propositions of logic and empirical propositions? The lack </w:t>
      </w:r>
      <w:r w:rsidRPr="00F01F5C">
        <w:rPr>
          <w:rFonts w:cs="AdvTT3713a231"/>
          <w:color w:val="131413"/>
        </w:rPr>
        <w:lastRenderedPageBreak/>
        <w:t xml:space="preserve">of sharpness </w:t>
      </w:r>
      <w:r w:rsidRPr="00F01F5C">
        <w:rPr>
          <w:rFonts w:cs="AdvTT50a2f13e.I"/>
          <w:color w:val="131413"/>
        </w:rPr>
        <w:t xml:space="preserve">is </w:t>
      </w:r>
      <w:r w:rsidRPr="00F01F5C">
        <w:rPr>
          <w:rFonts w:cs="AdvTT3713a231"/>
          <w:color w:val="131413"/>
        </w:rPr>
        <w:t xml:space="preserve">that of the boundary between </w:t>
      </w:r>
      <w:r w:rsidRPr="00F01F5C">
        <w:rPr>
          <w:rFonts w:cs="AdvTT50a2f13e.I"/>
          <w:color w:val="131413"/>
        </w:rPr>
        <w:t xml:space="preserve">rule </w:t>
      </w:r>
      <w:r w:rsidRPr="00F01F5C">
        <w:rPr>
          <w:rFonts w:cs="AdvTT3713a231"/>
          <w:color w:val="131413"/>
        </w:rPr>
        <w:t xml:space="preserve">and empirical propositions. Here, one must, I believe, remember that the concept </w:t>
      </w:r>
      <w:r w:rsidRPr="00F01F5C">
        <w:rPr>
          <w:rFonts w:cs="AdvTT3713a231+20"/>
          <w:color w:val="131413"/>
        </w:rPr>
        <w:t>‘</w:t>
      </w:r>
      <w:r w:rsidRPr="00F01F5C">
        <w:rPr>
          <w:rFonts w:cs="AdvTT3713a231"/>
          <w:color w:val="131413"/>
        </w:rPr>
        <w:t>proposition</w:t>
      </w:r>
      <w:r w:rsidRPr="00F01F5C">
        <w:rPr>
          <w:rFonts w:cs="AdvTT3713a231+20"/>
          <w:color w:val="131413"/>
        </w:rPr>
        <w:t xml:space="preserve">’ </w:t>
      </w:r>
      <w:r w:rsidRPr="00F01F5C">
        <w:rPr>
          <w:rFonts w:cs="AdvTT3713a231"/>
          <w:color w:val="131413"/>
        </w:rPr>
        <w:t>itself is not a sharp one.</w:t>
      </w:r>
    </w:p>
    <w:p w:rsidR="00AE1F0A" w:rsidRPr="00F01F5C" w:rsidRDefault="00AE1F0A" w:rsidP="004C6263">
      <w:pPr>
        <w:autoSpaceDE w:val="0"/>
        <w:autoSpaceDN w:val="0"/>
        <w:adjustRightInd w:val="0"/>
        <w:spacing w:after="0" w:line="480" w:lineRule="auto"/>
        <w:jc w:val="both"/>
        <w:rPr>
          <w:rFonts w:cs="AdvTT3713a231"/>
          <w:color w:val="131413"/>
        </w:rPr>
      </w:pPr>
    </w:p>
    <w:p w:rsidR="0021195D" w:rsidRPr="00F01F5C" w:rsidRDefault="00AE1F0A" w:rsidP="004C6263">
      <w:pPr>
        <w:autoSpaceDE w:val="0"/>
        <w:autoSpaceDN w:val="0"/>
        <w:adjustRightInd w:val="0"/>
        <w:spacing w:after="0" w:line="480" w:lineRule="auto"/>
        <w:jc w:val="both"/>
        <w:rPr>
          <w:rFonts w:cs="AdvTT3713a231"/>
          <w:color w:val="131413"/>
        </w:rPr>
      </w:pPr>
      <w:r w:rsidRPr="00F01F5C">
        <w:rPr>
          <w:rFonts w:cs="AdvTT3713a231"/>
          <w:color w:val="131413"/>
        </w:rPr>
        <w:t xml:space="preserve">The idea, I take it, is precisely that, by the time of </w:t>
      </w:r>
      <w:r w:rsidR="0027334B" w:rsidRPr="00F01F5C">
        <w:rPr>
          <w:rFonts w:cs="AdvTT50a2f13e.I"/>
          <w:color w:val="131413"/>
        </w:rPr>
        <w:t>OC</w:t>
      </w:r>
      <w:r w:rsidRPr="00F01F5C">
        <w:rPr>
          <w:rFonts w:cs="AdvTT3713a231"/>
          <w:color w:val="131413"/>
        </w:rPr>
        <w:t xml:space="preserve">, Wittgenstein held the view that there is no sharp boundary between rules and empirical propositions, because there are propositions </w:t>
      </w:r>
      <w:r w:rsidRPr="00F01F5C">
        <w:rPr>
          <w:rFonts w:cs="AdvTT3713a231+20"/>
          <w:color w:val="131413"/>
        </w:rPr>
        <w:t>“</w:t>
      </w:r>
      <w:r w:rsidRPr="00F01F5C">
        <w:rPr>
          <w:rFonts w:cs="AdvTT3713a231"/>
          <w:color w:val="131413"/>
        </w:rPr>
        <w:t>about material objects</w:t>
      </w:r>
      <w:r w:rsidRPr="00F01F5C">
        <w:rPr>
          <w:rFonts w:cs="AdvTT3713a231+20"/>
          <w:color w:val="131413"/>
        </w:rPr>
        <w:t xml:space="preserve">” </w:t>
      </w:r>
      <w:r w:rsidRPr="00F01F5C">
        <w:rPr>
          <w:rFonts w:cs="AdvTT3713a231"/>
          <w:color w:val="131413"/>
        </w:rPr>
        <w:t>(OC 402) which, however, don</w:t>
      </w:r>
      <w:r w:rsidRPr="00F01F5C">
        <w:rPr>
          <w:rFonts w:cs="AdvTT3713a231+20"/>
          <w:color w:val="131413"/>
        </w:rPr>
        <w:t>’</w:t>
      </w:r>
      <w:r w:rsidRPr="00F01F5C">
        <w:rPr>
          <w:rFonts w:cs="AdvTT3713a231"/>
          <w:color w:val="131413"/>
        </w:rPr>
        <w:t xml:space="preserve">t play an empirical function </w:t>
      </w:r>
      <w:r w:rsidRPr="00F01F5C">
        <w:rPr>
          <w:rFonts w:cs="AdvTT50a2f13e.I"/>
          <w:color w:val="131413"/>
        </w:rPr>
        <w:t>in context</w:t>
      </w:r>
      <w:r w:rsidRPr="00F01F5C">
        <w:rPr>
          <w:rFonts w:cs="AdvTT3713a231"/>
          <w:color w:val="131413"/>
        </w:rPr>
        <w:t xml:space="preserve">. Yet context can change, either synchronically or </w:t>
      </w:r>
      <w:r w:rsidR="005A1A60" w:rsidRPr="00F01F5C">
        <w:rPr>
          <w:rFonts w:cs="AdvTT3713a231"/>
          <w:color w:val="131413"/>
        </w:rPr>
        <w:t xml:space="preserve">diachronically. Hence, </w:t>
      </w:r>
      <w:r w:rsidRPr="00F01F5C">
        <w:rPr>
          <w:rFonts w:cs="AdvTT3713a231"/>
          <w:color w:val="131413"/>
        </w:rPr>
        <w:t xml:space="preserve">these propositions can acquire or re-acquire a purely empirical role. For instance, </w:t>
      </w:r>
      <w:r w:rsidRPr="00F01F5C">
        <w:rPr>
          <w:rFonts w:cs="AdvTT3713a231+20"/>
          <w:color w:val="131413"/>
        </w:rPr>
        <w:t>“</w:t>
      </w:r>
      <w:r w:rsidRPr="00F01F5C">
        <w:rPr>
          <w:rFonts w:cs="AdvTT3713a231"/>
          <w:color w:val="131413"/>
        </w:rPr>
        <w:t>Here is my hand</w:t>
      </w:r>
      <w:r w:rsidRPr="00F01F5C">
        <w:rPr>
          <w:rFonts w:cs="AdvTT3713a231+20"/>
          <w:color w:val="131413"/>
        </w:rPr>
        <w:t xml:space="preserve">” </w:t>
      </w:r>
      <w:r w:rsidRPr="00F01F5C">
        <w:rPr>
          <w:rFonts w:cs="AdvTT3713a231"/>
          <w:color w:val="131413"/>
        </w:rPr>
        <w:t xml:space="preserve">can cease to be a norm of evidential significance, because, after a car accident, it can actually be open to sensible investigation whether </w:t>
      </w:r>
      <w:r w:rsidR="005A1A60" w:rsidRPr="00F01F5C">
        <w:rPr>
          <w:rFonts w:cs="AdvTT3713a231"/>
          <w:color w:val="131413"/>
        </w:rPr>
        <w:t>I still have a hand</w:t>
      </w:r>
      <w:r w:rsidRPr="00F01F5C">
        <w:rPr>
          <w:rFonts w:cs="AdvTT3713a231"/>
          <w:color w:val="131413"/>
        </w:rPr>
        <w:t xml:space="preserve">. Similarly, </w:t>
      </w:r>
      <w:r w:rsidRPr="00F01F5C">
        <w:rPr>
          <w:rFonts w:cs="AdvTT3713a231+20"/>
          <w:color w:val="131413"/>
        </w:rPr>
        <w:t>“</w:t>
      </w:r>
      <w:r w:rsidRPr="00F01F5C">
        <w:rPr>
          <w:rFonts w:cs="AdvTT3713a231"/>
          <w:color w:val="131413"/>
        </w:rPr>
        <w:t>Nobody has ever been on the Moon</w:t>
      </w:r>
      <w:r w:rsidRPr="00F01F5C">
        <w:rPr>
          <w:rFonts w:cs="AdvTT3713a231+20"/>
          <w:color w:val="131413"/>
        </w:rPr>
        <w:t xml:space="preserve">” </w:t>
      </w:r>
      <w:r w:rsidRPr="00F01F5C">
        <w:rPr>
          <w:rFonts w:cs="AdvTT3713a231"/>
          <w:color w:val="131413"/>
        </w:rPr>
        <w:t>can be liable to rational inquiry and may even turn out to be false if scientific progress allows for it. This</w:t>
      </w:r>
      <w:r w:rsidR="005A1A60" w:rsidRPr="00F01F5C">
        <w:rPr>
          <w:rFonts w:cs="AdvTT3713a231"/>
          <w:color w:val="131413"/>
        </w:rPr>
        <w:t>, however,</w:t>
      </w:r>
      <w:r w:rsidRPr="00F01F5C">
        <w:rPr>
          <w:rFonts w:cs="AdvTT3713a231"/>
          <w:color w:val="131413"/>
        </w:rPr>
        <w:t xml:space="preserve"> doesn</w:t>
      </w:r>
      <w:r w:rsidRPr="00F01F5C">
        <w:rPr>
          <w:rFonts w:cs="AdvTT3713a231+20"/>
          <w:color w:val="131413"/>
        </w:rPr>
        <w:t>’</w:t>
      </w:r>
      <w:r w:rsidRPr="00F01F5C">
        <w:rPr>
          <w:rFonts w:cs="AdvTT3713a231"/>
          <w:color w:val="131413"/>
        </w:rPr>
        <w:t xml:space="preserve">t mean that in the meanwhile we have substituted those hinges with their empirical </w:t>
      </w:r>
      <w:r w:rsidR="00C20689" w:rsidRPr="00F01F5C">
        <w:rPr>
          <w:rFonts w:cs="AdvTT3713a231"/>
          <w:color w:val="131413"/>
        </w:rPr>
        <w:t>doppelgänger</w:t>
      </w:r>
      <w:r w:rsidRPr="00F01F5C">
        <w:rPr>
          <w:rFonts w:cs="AdvTT3713a231"/>
          <w:color w:val="131413"/>
        </w:rPr>
        <w:t>s. Indeed</w:t>
      </w:r>
      <w:r w:rsidR="00356C1C" w:rsidRPr="00F01F5C">
        <w:rPr>
          <w:rFonts w:cs="AdvTT3713a231"/>
          <w:color w:val="131413"/>
        </w:rPr>
        <w:t>,</w:t>
      </w:r>
      <w:r w:rsidRPr="00F01F5C">
        <w:rPr>
          <w:rFonts w:cs="AdvTT3713a231"/>
          <w:color w:val="131413"/>
        </w:rPr>
        <w:t xml:space="preserve"> there is no passage in </w:t>
      </w:r>
      <w:r w:rsidR="0027334B" w:rsidRPr="00F01F5C">
        <w:rPr>
          <w:rFonts w:cs="AdvTT50a2f13e.I"/>
          <w:color w:val="131413"/>
        </w:rPr>
        <w:t>OC</w:t>
      </w:r>
      <w:r w:rsidRPr="00F01F5C">
        <w:rPr>
          <w:rFonts w:cs="AdvTT50a2f13e.I"/>
          <w:color w:val="131413"/>
        </w:rPr>
        <w:t xml:space="preserve"> </w:t>
      </w:r>
      <w:r w:rsidR="005A1A60" w:rsidRPr="00F01F5C">
        <w:rPr>
          <w:rFonts w:cs="AdvTT3713a231"/>
          <w:color w:val="131413"/>
        </w:rPr>
        <w:t>that</w:t>
      </w:r>
      <w:r w:rsidRPr="00F01F5C">
        <w:rPr>
          <w:rFonts w:cs="AdvTT3713a231"/>
          <w:color w:val="131413"/>
        </w:rPr>
        <w:t xml:space="preserve">, to the best of my knowledge, explicitly states the idea of </w:t>
      </w:r>
      <w:r w:rsidR="00C20689" w:rsidRPr="00F01F5C">
        <w:rPr>
          <w:rFonts w:cs="AdvTT3713a231"/>
          <w:color w:val="131413"/>
        </w:rPr>
        <w:t>doppelgänger</w:t>
      </w:r>
      <w:r w:rsidRPr="00F01F5C">
        <w:rPr>
          <w:rFonts w:cs="AdvTT3713a231"/>
          <w:color w:val="131413"/>
        </w:rPr>
        <w:t>s and of unnoticed substitutions of hinges with ordinary empirical propositi</w:t>
      </w:r>
      <w:r w:rsidR="00356C1C" w:rsidRPr="00F01F5C">
        <w:rPr>
          <w:rFonts w:cs="AdvTT3713a231"/>
          <w:color w:val="131413"/>
        </w:rPr>
        <w:t>ons (or vice versa).</w:t>
      </w:r>
      <w:r w:rsidR="00356C1C" w:rsidRPr="00F01F5C">
        <w:rPr>
          <w:rStyle w:val="FootnoteReference"/>
          <w:rFonts w:cs="AdvTT3713a231"/>
          <w:color w:val="131413"/>
        </w:rPr>
        <w:footnoteReference w:id="6"/>
      </w:r>
      <w:r w:rsidR="00356C1C" w:rsidRPr="00F01F5C">
        <w:rPr>
          <w:rFonts w:cs="AdvTT3713a231"/>
          <w:color w:val="131413"/>
        </w:rPr>
        <w:t xml:space="preserve"> </w:t>
      </w:r>
      <w:r w:rsidRPr="00F01F5C">
        <w:rPr>
          <w:rFonts w:cs="AdvTT3713a231"/>
          <w:color w:val="131413"/>
        </w:rPr>
        <w:t xml:space="preserve">The idea of </w:t>
      </w:r>
      <w:r w:rsidR="00C20689" w:rsidRPr="00F01F5C">
        <w:rPr>
          <w:rFonts w:cs="AdvTT3713a231"/>
          <w:color w:val="131413"/>
        </w:rPr>
        <w:t>doppelgänger</w:t>
      </w:r>
      <w:r w:rsidRPr="00F01F5C">
        <w:rPr>
          <w:rFonts w:cs="AdvTT3713a231"/>
          <w:color w:val="131413"/>
        </w:rPr>
        <w:t xml:space="preserve">s emerges only if one takes </w:t>
      </w:r>
      <w:r w:rsidRPr="00F01F5C">
        <w:rPr>
          <w:rFonts w:cs="AdvTT3713a231+20"/>
          <w:color w:val="131413"/>
        </w:rPr>
        <w:t>‘</w:t>
      </w:r>
      <w:proofErr w:type="spellStart"/>
      <w:r w:rsidRPr="00F01F5C">
        <w:rPr>
          <w:rFonts w:cs="AdvTT50a2f13e.I"/>
          <w:color w:val="131413"/>
        </w:rPr>
        <w:t>Satz</w:t>
      </w:r>
      <w:proofErr w:type="spellEnd"/>
      <w:r w:rsidRPr="00F01F5C">
        <w:rPr>
          <w:rFonts w:cs="AdvTT3713a231+20"/>
          <w:color w:val="131413"/>
        </w:rPr>
        <w:t xml:space="preserve">’ </w:t>
      </w:r>
      <w:r w:rsidRPr="00F01F5C">
        <w:rPr>
          <w:rFonts w:cs="AdvTT3713a231"/>
          <w:color w:val="131413"/>
        </w:rPr>
        <w:t xml:space="preserve">to mean </w:t>
      </w:r>
      <w:r w:rsidRPr="00F01F5C">
        <w:rPr>
          <w:rFonts w:cs="AdvTT3713a231+20"/>
          <w:color w:val="131413"/>
        </w:rPr>
        <w:t>‘</w:t>
      </w:r>
      <w:r w:rsidRPr="00F01F5C">
        <w:rPr>
          <w:rFonts w:cs="AdvTT3713a231"/>
          <w:color w:val="131413"/>
        </w:rPr>
        <w:t>sentence</w:t>
      </w:r>
      <w:r w:rsidRPr="00F01F5C">
        <w:rPr>
          <w:rFonts w:cs="AdvTT3713a231+20"/>
          <w:color w:val="131413"/>
        </w:rPr>
        <w:t xml:space="preserve">’ </w:t>
      </w:r>
      <w:r w:rsidRPr="00F01F5C">
        <w:rPr>
          <w:rFonts w:cs="AdvTT3713a231"/>
          <w:color w:val="131413"/>
        </w:rPr>
        <w:t xml:space="preserve">and then takes the passages for instance around OC 95-99 to suggest that one and the same sentence can be used either to express an empirical proposition or else a norm. </w:t>
      </w:r>
      <w:r w:rsidR="00356C1C" w:rsidRPr="00F01F5C">
        <w:rPr>
          <w:rFonts w:cs="AdvTT3713a231"/>
          <w:color w:val="131413"/>
        </w:rPr>
        <w:t>Yet,</w:t>
      </w:r>
      <w:r w:rsidRPr="00F01F5C">
        <w:rPr>
          <w:rFonts w:cs="AdvTT3713a231"/>
          <w:color w:val="131413"/>
        </w:rPr>
        <w:t xml:space="preserve"> those (and other) key passages actually suggest a different idea, when the ordinary translation is preserved. Namely, that </w:t>
      </w:r>
      <w:r w:rsidRPr="00F01F5C">
        <w:rPr>
          <w:rFonts w:cs="AdvTT3713a231+20"/>
          <w:color w:val="131413"/>
        </w:rPr>
        <w:t>“</w:t>
      </w:r>
      <w:r w:rsidRPr="00F01F5C">
        <w:rPr>
          <w:rFonts w:cs="AdvTT3713a231"/>
          <w:color w:val="131413"/>
        </w:rPr>
        <w:t>some propositions, of the form of empirical propositions</w:t>
      </w:r>
      <w:r w:rsidRPr="00F01F5C">
        <w:rPr>
          <w:rFonts w:cs="AdvTT3713a231+20"/>
          <w:color w:val="131413"/>
        </w:rPr>
        <w:t>”</w:t>
      </w:r>
      <w:r w:rsidRPr="00F01F5C">
        <w:rPr>
          <w:rFonts w:cs="AdvTT3713a231"/>
          <w:color w:val="131413"/>
        </w:rPr>
        <w:t xml:space="preserve"> may be </w:t>
      </w:r>
      <w:r w:rsidRPr="00F01F5C">
        <w:rPr>
          <w:rFonts w:cs="AdvTT3713a231+20"/>
          <w:color w:val="131413"/>
        </w:rPr>
        <w:t>“</w:t>
      </w:r>
      <w:r w:rsidRPr="00F01F5C">
        <w:rPr>
          <w:rFonts w:cs="AdvTT3713a231"/>
          <w:color w:val="131413"/>
        </w:rPr>
        <w:t>hardened</w:t>
      </w:r>
      <w:r w:rsidRPr="00F01F5C">
        <w:rPr>
          <w:rFonts w:cs="AdvTT3713a231+20"/>
          <w:color w:val="131413"/>
        </w:rPr>
        <w:t xml:space="preserve">” </w:t>
      </w:r>
      <w:r w:rsidRPr="00F01F5C">
        <w:rPr>
          <w:rFonts w:cs="AdvTT3713a231"/>
          <w:color w:val="131413"/>
        </w:rPr>
        <w:t xml:space="preserve">so as to function </w:t>
      </w:r>
      <w:r w:rsidRPr="00F01F5C">
        <w:rPr>
          <w:rFonts w:cs="AdvTT3713a231+20"/>
          <w:color w:val="131413"/>
        </w:rPr>
        <w:lastRenderedPageBreak/>
        <w:t>“</w:t>
      </w:r>
      <w:r w:rsidRPr="00F01F5C">
        <w:rPr>
          <w:rFonts w:cs="AdvTT3713a231"/>
          <w:color w:val="131413"/>
        </w:rPr>
        <w:t>as channels</w:t>
      </w:r>
      <w:r w:rsidRPr="00F01F5C">
        <w:rPr>
          <w:rFonts w:cs="AdvTT3713a231+20"/>
          <w:color w:val="131413"/>
        </w:rPr>
        <w:t xml:space="preserve">” </w:t>
      </w:r>
      <w:r w:rsidRPr="00F01F5C">
        <w:rPr>
          <w:rFonts w:cs="AdvTT3713a231"/>
          <w:color w:val="131413"/>
        </w:rPr>
        <w:t>for ordinary empirical propositions</w:t>
      </w:r>
      <w:r w:rsidR="005A1A60" w:rsidRPr="00F01F5C">
        <w:rPr>
          <w:rFonts w:cs="AdvTT3713a231"/>
          <w:color w:val="131413"/>
        </w:rPr>
        <w:t xml:space="preserve"> </w:t>
      </w:r>
      <w:r w:rsidRPr="00F01F5C">
        <w:rPr>
          <w:rFonts w:cs="AdvTT3713a231"/>
          <w:color w:val="131413"/>
        </w:rPr>
        <w:t xml:space="preserve">and yet this relation can alter with time </w:t>
      </w:r>
      <w:r w:rsidRPr="00F01F5C">
        <w:rPr>
          <w:rFonts w:cs="AdvTT3713a231+20"/>
          <w:color w:val="131413"/>
        </w:rPr>
        <w:t>“</w:t>
      </w:r>
      <w:r w:rsidRPr="00F01F5C">
        <w:rPr>
          <w:rFonts w:cs="AdvTT3713a231"/>
          <w:color w:val="131413"/>
        </w:rPr>
        <w:t>in that fluid propositions</w:t>
      </w:r>
      <w:r w:rsidRPr="00F01F5C">
        <w:rPr>
          <w:rFonts w:cs="AdvTT3713a231+20"/>
          <w:color w:val="131413"/>
        </w:rPr>
        <w:t>”—</w:t>
      </w:r>
      <w:r w:rsidRPr="00F01F5C">
        <w:rPr>
          <w:rFonts w:cs="AdvTT3713a231"/>
          <w:color w:val="131413"/>
        </w:rPr>
        <w:t xml:space="preserve">not their </w:t>
      </w:r>
      <w:r w:rsidR="00C20689" w:rsidRPr="00F01F5C">
        <w:rPr>
          <w:rFonts w:cs="AdvTT3713a231"/>
          <w:color w:val="131413"/>
        </w:rPr>
        <w:t>doppelgänger</w:t>
      </w:r>
      <w:r w:rsidRPr="00F01F5C">
        <w:rPr>
          <w:rFonts w:cs="AdvTT3713a231"/>
          <w:color w:val="131413"/>
        </w:rPr>
        <w:t>s</w:t>
      </w:r>
      <w:r w:rsidRPr="00F01F5C">
        <w:rPr>
          <w:rFonts w:cs="AdvTT3713a231+20"/>
          <w:color w:val="131413"/>
        </w:rPr>
        <w:t>—</w:t>
      </w:r>
      <w:r w:rsidRPr="00F01F5C">
        <w:rPr>
          <w:rFonts w:cs="AdvTT3713a231"/>
          <w:color w:val="131413"/>
        </w:rPr>
        <w:t>harden, and hard ones become fluid (OC</w:t>
      </w:r>
      <w:r w:rsidR="00356C1C" w:rsidRPr="00F01F5C">
        <w:rPr>
          <w:rFonts w:cs="AdvTT3713a231"/>
          <w:color w:val="131413"/>
        </w:rPr>
        <w:t xml:space="preserve"> 95).</w:t>
      </w:r>
      <w:r w:rsidR="0021195D" w:rsidRPr="00F01F5C">
        <w:rPr>
          <w:rStyle w:val="FootnoteReference"/>
          <w:rFonts w:cs="AdvTT3713a231"/>
          <w:color w:val="131413"/>
        </w:rPr>
        <w:footnoteReference w:id="7"/>
      </w:r>
      <w:r w:rsidRPr="00F01F5C">
        <w:rPr>
          <w:rFonts w:cs="AdvTT3713a231"/>
          <w:color w:val="131413"/>
        </w:rPr>
        <w:t xml:space="preserve"> </w:t>
      </w:r>
    </w:p>
    <w:p w:rsidR="00AE1F0A" w:rsidRPr="00F01F5C" w:rsidRDefault="00356C1C" w:rsidP="004C6263">
      <w:pPr>
        <w:autoSpaceDE w:val="0"/>
        <w:autoSpaceDN w:val="0"/>
        <w:adjustRightInd w:val="0"/>
        <w:spacing w:after="0" w:line="480" w:lineRule="auto"/>
        <w:ind w:firstLine="720"/>
        <w:jc w:val="both"/>
        <w:rPr>
          <w:rFonts w:cs="AdvTT3713a231"/>
          <w:color w:val="131413"/>
        </w:rPr>
      </w:pPr>
      <w:r w:rsidRPr="00F01F5C">
        <w:rPr>
          <w:rFonts w:cs="AdvTT3713a231"/>
          <w:color w:val="131413"/>
        </w:rPr>
        <w:t>Hence</w:t>
      </w:r>
      <w:r w:rsidR="0021195D" w:rsidRPr="00F01F5C">
        <w:rPr>
          <w:rFonts w:cs="AdvTT3713a231"/>
          <w:color w:val="131413"/>
        </w:rPr>
        <w:t xml:space="preserve">, while playing a normative role, hinges remain propositions with empirical import, as they convey a certain description of reality, which is not (any longer) subject to verification and control, yet is a description all the same. </w:t>
      </w:r>
      <w:r w:rsidR="0021195D" w:rsidRPr="00F01F5C">
        <w:rPr>
          <w:rFonts w:cs="AdvTT3713a231+20"/>
          <w:color w:val="131413"/>
        </w:rPr>
        <w:t>“</w:t>
      </w:r>
      <w:r w:rsidR="0021195D" w:rsidRPr="00F01F5C">
        <w:rPr>
          <w:rFonts w:cs="AdvTT3713a231"/>
          <w:color w:val="131413"/>
        </w:rPr>
        <w:t>The Earth has existed for a very long time</w:t>
      </w:r>
      <w:r w:rsidR="0021195D" w:rsidRPr="00F01F5C">
        <w:rPr>
          <w:rFonts w:cs="AdvTT3713a231+20"/>
          <w:color w:val="131413"/>
        </w:rPr>
        <w:t>”</w:t>
      </w:r>
      <w:r w:rsidR="0021195D" w:rsidRPr="00F01F5C">
        <w:rPr>
          <w:rFonts w:cs="AdvTT3713a231"/>
          <w:color w:val="131413"/>
        </w:rPr>
        <w:t xml:space="preserve">, or </w:t>
      </w:r>
      <w:r w:rsidR="0021195D" w:rsidRPr="00F01F5C">
        <w:rPr>
          <w:rFonts w:cs="AdvTT3713a231+20"/>
          <w:color w:val="131413"/>
        </w:rPr>
        <w:t>“</w:t>
      </w:r>
      <w:r w:rsidR="0021195D" w:rsidRPr="00F01F5C">
        <w:rPr>
          <w:rFonts w:cs="AdvTT3713a231"/>
          <w:color w:val="131413"/>
        </w:rPr>
        <w:t>Here</w:t>
      </w:r>
      <w:r w:rsidR="0021195D" w:rsidRPr="00F01F5C">
        <w:rPr>
          <w:rFonts w:cs="AdvTT3713a231+20"/>
          <w:color w:val="131413"/>
        </w:rPr>
        <w:t>’</w:t>
      </w:r>
      <w:r w:rsidR="0021195D" w:rsidRPr="00F01F5C">
        <w:rPr>
          <w:rFonts w:cs="AdvTT3713a231"/>
          <w:color w:val="131413"/>
        </w:rPr>
        <w:t>s my hand</w:t>
      </w:r>
      <w:r w:rsidR="0021195D" w:rsidRPr="00F01F5C">
        <w:rPr>
          <w:rFonts w:cs="AdvTT3713a231+20"/>
          <w:color w:val="131413"/>
        </w:rPr>
        <w:t>”</w:t>
      </w:r>
      <w:r w:rsidR="0021195D" w:rsidRPr="00F01F5C">
        <w:rPr>
          <w:rFonts w:cs="AdvTT3713a231"/>
          <w:color w:val="131413"/>
        </w:rPr>
        <w:t xml:space="preserve">, </w:t>
      </w:r>
      <w:r w:rsidR="0021195D" w:rsidRPr="00F01F5C">
        <w:rPr>
          <w:rFonts w:cs="AdvTT3713a231+20"/>
          <w:color w:val="131413"/>
        </w:rPr>
        <w:t>“</w:t>
      </w:r>
      <w:r w:rsidR="0021195D" w:rsidRPr="00F01F5C">
        <w:rPr>
          <w:rFonts w:cs="AdvTT3713a231"/>
          <w:color w:val="131413"/>
        </w:rPr>
        <w:t>My name is AC</w:t>
      </w:r>
      <w:r w:rsidR="0021195D" w:rsidRPr="00F01F5C">
        <w:rPr>
          <w:rFonts w:cs="AdvTT3713a231+20"/>
          <w:color w:val="131413"/>
        </w:rPr>
        <w:t>”</w:t>
      </w:r>
      <w:r w:rsidR="0021195D" w:rsidRPr="00F01F5C">
        <w:rPr>
          <w:rFonts w:cs="AdvTT3713a231"/>
          <w:color w:val="131413"/>
        </w:rPr>
        <w:t xml:space="preserve">, </w:t>
      </w:r>
      <w:r w:rsidR="0021195D" w:rsidRPr="00F01F5C">
        <w:rPr>
          <w:rFonts w:cs="AdvTT3713a231+20"/>
          <w:color w:val="131413"/>
        </w:rPr>
        <w:t>“</w:t>
      </w:r>
      <w:r w:rsidR="0021195D" w:rsidRPr="00F01F5C">
        <w:rPr>
          <w:rFonts w:cs="AdvTT3713a231"/>
          <w:color w:val="131413"/>
        </w:rPr>
        <w:t>Nobody has ever been on the Moon</w:t>
      </w:r>
      <w:r w:rsidR="0021195D" w:rsidRPr="00F01F5C">
        <w:rPr>
          <w:rFonts w:cs="AdvTT3713a231+20"/>
          <w:color w:val="131413"/>
        </w:rPr>
        <w:t>”</w:t>
      </w:r>
      <w:r w:rsidR="0021195D" w:rsidRPr="00F01F5C">
        <w:rPr>
          <w:rFonts w:cs="AdvTT3713a231"/>
          <w:color w:val="131413"/>
        </w:rPr>
        <w:t xml:space="preserve">, are all cases in point. And there are circumstances </w:t>
      </w:r>
      <w:r w:rsidR="0021195D" w:rsidRPr="00F01F5C">
        <w:rPr>
          <w:rFonts w:cs="AdvTT3713a231+20"/>
          <w:color w:val="131413"/>
        </w:rPr>
        <w:t xml:space="preserve">– </w:t>
      </w:r>
      <w:r w:rsidR="0021195D" w:rsidRPr="00F01F5C">
        <w:rPr>
          <w:rFonts w:cs="AdvTT3713a231"/>
          <w:color w:val="131413"/>
        </w:rPr>
        <w:t xml:space="preserve">either synchronically or diachronically </w:t>
      </w:r>
      <w:r w:rsidR="0021195D" w:rsidRPr="00F01F5C">
        <w:rPr>
          <w:rFonts w:cs="AdvTT3713a231+20"/>
          <w:color w:val="131413"/>
        </w:rPr>
        <w:t xml:space="preserve">– </w:t>
      </w:r>
      <w:r w:rsidR="0021195D" w:rsidRPr="00F01F5C">
        <w:rPr>
          <w:rFonts w:cs="AdvTT3713a231"/>
          <w:color w:val="131413"/>
        </w:rPr>
        <w:t xml:space="preserve">which, at least in some cases, could demote these propositions from their rule-like role </w:t>
      </w:r>
      <w:r w:rsidRPr="00F01F5C">
        <w:rPr>
          <w:rFonts w:cs="AdvTT3713a231"/>
          <w:color w:val="131413"/>
        </w:rPr>
        <w:t xml:space="preserve">(OC 95) </w:t>
      </w:r>
      <w:r w:rsidR="0021195D" w:rsidRPr="00F01F5C">
        <w:rPr>
          <w:rFonts w:cs="AdvTT3713a231"/>
          <w:color w:val="131413"/>
        </w:rPr>
        <w:t xml:space="preserve">to let them play their (perhaps original) merely descriptive function. </w:t>
      </w:r>
      <w:r w:rsidR="00AE1F0A" w:rsidRPr="00F01F5C">
        <w:rPr>
          <w:rFonts w:cs="AdvTT3713a231"/>
          <w:color w:val="131413"/>
        </w:rPr>
        <w:t xml:space="preserve">Indeed, for Wittgenstein, </w:t>
      </w:r>
      <w:r w:rsidR="00AE1F0A" w:rsidRPr="00F01F5C">
        <w:rPr>
          <w:rFonts w:cs="AdvTT3713a231+20"/>
          <w:color w:val="131413"/>
        </w:rPr>
        <w:t>“</w:t>
      </w:r>
      <w:r w:rsidR="00AE1F0A" w:rsidRPr="00F01F5C">
        <w:rPr>
          <w:rFonts w:cs="AdvTT3713a231"/>
          <w:color w:val="131413"/>
        </w:rPr>
        <w:t>the same proposition</w:t>
      </w:r>
      <w:r w:rsidR="00AE1F0A" w:rsidRPr="00F01F5C">
        <w:rPr>
          <w:rFonts w:cs="AdvTT3713a231+20"/>
          <w:color w:val="131413"/>
        </w:rPr>
        <w:t xml:space="preserve">” </w:t>
      </w:r>
      <w:r w:rsidR="00AE1F0A" w:rsidRPr="00F01F5C">
        <w:rPr>
          <w:rFonts w:cs="AdvTT3713a231"/>
          <w:color w:val="131413"/>
        </w:rPr>
        <w:t>(</w:t>
      </w:r>
      <w:proofErr w:type="spellStart"/>
      <w:r w:rsidR="00AE1F0A" w:rsidRPr="00F01F5C">
        <w:rPr>
          <w:rFonts w:cs="AdvTT50a2f13e.I"/>
          <w:i/>
          <w:color w:val="131413"/>
        </w:rPr>
        <w:t>Satz</w:t>
      </w:r>
      <w:proofErr w:type="spellEnd"/>
      <w:r w:rsidR="00AE1F0A" w:rsidRPr="00F01F5C">
        <w:rPr>
          <w:rFonts w:cs="AdvTT3713a231"/>
          <w:color w:val="131413"/>
        </w:rPr>
        <w:t xml:space="preserve">) </w:t>
      </w:r>
      <w:r w:rsidR="00AE1F0A" w:rsidRPr="00F01F5C">
        <w:rPr>
          <w:rFonts w:cs="AdvTT3713a231+20"/>
          <w:color w:val="131413"/>
        </w:rPr>
        <w:t>“</w:t>
      </w:r>
      <w:r w:rsidR="00AE1F0A" w:rsidRPr="00F01F5C">
        <w:rPr>
          <w:rFonts w:cs="AdvTT3713a231"/>
          <w:color w:val="131413"/>
        </w:rPr>
        <w:t>may get treated at one time as something to test by experience, at another as a rule of testing</w:t>
      </w:r>
      <w:r w:rsidR="00AE1F0A" w:rsidRPr="00F01F5C">
        <w:rPr>
          <w:rFonts w:cs="AdvTT3713a231+20"/>
          <w:color w:val="131413"/>
        </w:rPr>
        <w:t xml:space="preserve">” </w:t>
      </w:r>
      <w:r w:rsidR="00AE1F0A" w:rsidRPr="00F01F5C">
        <w:rPr>
          <w:rFonts w:cs="AdvTT3713a231"/>
          <w:color w:val="131413"/>
        </w:rPr>
        <w:t xml:space="preserve">(OC 98). This is clearly the case with </w:t>
      </w:r>
      <w:r w:rsidR="00AE1F0A" w:rsidRPr="00F01F5C">
        <w:rPr>
          <w:rFonts w:cs="AdvTT3713a231+20"/>
          <w:color w:val="131413"/>
        </w:rPr>
        <w:t>“</w:t>
      </w:r>
      <w:r w:rsidR="00AE1F0A" w:rsidRPr="00F01F5C">
        <w:rPr>
          <w:rFonts w:cs="AdvTT3713a231"/>
          <w:color w:val="131413"/>
        </w:rPr>
        <w:t>Here</w:t>
      </w:r>
      <w:r w:rsidR="00AE1F0A" w:rsidRPr="00F01F5C">
        <w:rPr>
          <w:rFonts w:cs="AdvTT3713a231+20"/>
          <w:color w:val="131413"/>
        </w:rPr>
        <w:t>’</w:t>
      </w:r>
      <w:r w:rsidR="00AE1F0A" w:rsidRPr="00F01F5C">
        <w:rPr>
          <w:rFonts w:cs="AdvTT3713a231"/>
          <w:color w:val="131413"/>
        </w:rPr>
        <w:t>s my hand</w:t>
      </w:r>
      <w:r w:rsidR="00AE1F0A" w:rsidRPr="00F01F5C">
        <w:rPr>
          <w:rFonts w:cs="AdvTT3713a231+20"/>
          <w:color w:val="131413"/>
        </w:rPr>
        <w:t>”</w:t>
      </w:r>
      <w:r w:rsidR="00AE1F0A" w:rsidRPr="00F01F5C">
        <w:rPr>
          <w:rFonts w:cs="AdvTT3713a231"/>
          <w:color w:val="131413"/>
        </w:rPr>
        <w:t xml:space="preserve">, but also, diachronically, with </w:t>
      </w:r>
      <w:r w:rsidR="00AE1F0A" w:rsidRPr="00F01F5C">
        <w:rPr>
          <w:rFonts w:cs="AdvTT3713a231+20"/>
          <w:color w:val="131413"/>
        </w:rPr>
        <w:t>“</w:t>
      </w:r>
      <w:r w:rsidR="00AE1F0A" w:rsidRPr="00F01F5C">
        <w:rPr>
          <w:rFonts w:cs="AdvTT3713a231"/>
          <w:color w:val="131413"/>
        </w:rPr>
        <w:t>Nobody has ever been on the Moon</w:t>
      </w:r>
      <w:r w:rsidR="00AE1F0A" w:rsidRPr="00F01F5C">
        <w:rPr>
          <w:rFonts w:cs="AdvTT3713a231+20"/>
          <w:color w:val="131413"/>
        </w:rPr>
        <w:t>”</w:t>
      </w:r>
      <w:r w:rsidR="00AE1F0A" w:rsidRPr="00F01F5C">
        <w:rPr>
          <w:rFonts w:cs="AdvTT3713a231"/>
          <w:color w:val="131413"/>
        </w:rPr>
        <w:t>.</w:t>
      </w:r>
    </w:p>
    <w:p w:rsidR="00AD19CC" w:rsidRPr="00F01F5C" w:rsidRDefault="00AD19CC" w:rsidP="004C6263">
      <w:pPr>
        <w:autoSpaceDE w:val="0"/>
        <w:autoSpaceDN w:val="0"/>
        <w:adjustRightInd w:val="0"/>
        <w:spacing w:after="0" w:line="480" w:lineRule="auto"/>
        <w:ind w:firstLine="720"/>
        <w:jc w:val="both"/>
        <w:rPr>
          <w:rFonts w:cs="AdvTT3713a231"/>
          <w:color w:val="131413"/>
        </w:rPr>
      </w:pPr>
      <w:r w:rsidRPr="00F01F5C">
        <w:rPr>
          <w:rFonts w:cs="AdvTT3713a231"/>
          <w:color w:val="131413"/>
        </w:rPr>
        <w:t xml:space="preserve">Indeed, at least since the discussion of family-resemblance concepts in </w:t>
      </w:r>
      <w:r w:rsidRPr="00F01F5C">
        <w:rPr>
          <w:rFonts w:cs="AdvTT3713a231"/>
          <w:i/>
          <w:color w:val="131413"/>
        </w:rPr>
        <w:t>P</w:t>
      </w:r>
      <w:r w:rsidR="0021195D" w:rsidRPr="00F01F5C">
        <w:rPr>
          <w:rFonts w:cs="AdvTT3713a231"/>
          <w:i/>
          <w:color w:val="131413"/>
        </w:rPr>
        <w:t xml:space="preserve">hilosophical </w:t>
      </w:r>
      <w:r w:rsidRPr="00F01F5C">
        <w:rPr>
          <w:rFonts w:cs="AdvTT3713a231"/>
          <w:i/>
          <w:color w:val="131413"/>
        </w:rPr>
        <w:t>I</w:t>
      </w:r>
      <w:r w:rsidR="0021195D" w:rsidRPr="00F01F5C">
        <w:rPr>
          <w:rFonts w:cs="AdvTT3713a231"/>
          <w:i/>
          <w:color w:val="131413"/>
        </w:rPr>
        <w:t>nv</w:t>
      </w:r>
      <w:r w:rsidR="0027334B" w:rsidRPr="00F01F5C">
        <w:rPr>
          <w:rFonts w:cs="AdvTT3713a231"/>
          <w:i/>
          <w:color w:val="131413"/>
        </w:rPr>
        <w:t>e</w:t>
      </w:r>
      <w:r w:rsidR="0021195D" w:rsidRPr="00F01F5C">
        <w:rPr>
          <w:rFonts w:cs="AdvTT3713a231"/>
          <w:i/>
          <w:color w:val="131413"/>
        </w:rPr>
        <w:t>stigations</w:t>
      </w:r>
      <w:r w:rsidRPr="00F01F5C">
        <w:rPr>
          <w:rFonts w:cs="AdvTT3713a231"/>
          <w:color w:val="131413"/>
        </w:rPr>
        <w:t xml:space="preserve"> 65</w:t>
      </w:r>
      <w:r w:rsidRPr="00F01F5C">
        <w:rPr>
          <w:rFonts w:cs="AdvTT3713a231+20"/>
          <w:color w:val="131413"/>
        </w:rPr>
        <w:t>–</w:t>
      </w:r>
      <w:r w:rsidRPr="00F01F5C">
        <w:rPr>
          <w:rFonts w:cs="AdvTT3713a231"/>
          <w:color w:val="131413"/>
        </w:rPr>
        <w:t>71</w:t>
      </w:r>
      <w:r w:rsidR="00D147BA" w:rsidRPr="00F01F5C">
        <w:rPr>
          <w:rFonts w:cs="AdvTT3713a231"/>
          <w:color w:val="131413"/>
        </w:rPr>
        <w:t xml:space="preserve">, </w:t>
      </w:r>
      <w:r w:rsidRPr="00F01F5C">
        <w:rPr>
          <w:rFonts w:cs="AdvTT3713a231"/>
          <w:color w:val="131413"/>
        </w:rPr>
        <w:t xml:space="preserve">which is only </w:t>
      </w:r>
      <w:r w:rsidR="00D147BA" w:rsidRPr="00F01F5C">
        <w:rPr>
          <w:rFonts w:cs="AdvTT3713a231"/>
          <w:color w:val="131413"/>
        </w:rPr>
        <w:t>deceptively</w:t>
      </w:r>
      <w:r w:rsidRPr="00F01F5C">
        <w:rPr>
          <w:rFonts w:cs="AdvTT3713a231"/>
          <w:color w:val="131413"/>
        </w:rPr>
        <w:t xml:space="preserve"> just about the concep</w:t>
      </w:r>
      <w:r w:rsidR="00D147BA" w:rsidRPr="00F01F5C">
        <w:rPr>
          <w:rFonts w:cs="AdvTT3713a231"/>
          <w:color w:val="131413"/>
        </w:rPr>
        <w:t xml:space="preserve">t of game, but which is in fact </w:t>
      </w:r>
      <w:r w:rsidRPr="00F01F5C">
        <w:rPr>
          <w:rFonts w:cs="AdvTT3713a231"/>
          <w:color w:val="131413"/>
        </w:rPr>
        <w:t xml:space="preserve">concerned with discarding the idea that had had a key role in the </w:t>
      </w:r>
      <w:proofErr w:type="spellStart"/>
      <w:r w:rsidRPr="00F01F5C">
        <w:rPr>
          <w:rFonts w:cs="AdvTT50a2f13e.I"/>
          <w:i/>
          <w:color w:val="131413"/>
        </w:rPr>
        <w:t>Tractatus</w:t>
      </w:r>
      <w:proofErr w:type="spellEnd"/>
      <w:r w:rsidR="00D147BA" w:rsidRPr="00F01F5C">
        <w:rPr>
          <w:rFonts w:cs="AdvTT3713a231"/>
          <w:color w:val="131413"/>
        </w:rPr>
        <w:t xml:space="preserve">, viz. that </w:t>
      </w:r>
      <w:r w:rsidRPr="00F01F5C">
        <w:rPr>
          <w:rFonts w:cs="AdvTT3713a231"/>
          <w:color w:val="131413"/>
        </w:rPr>
        <w:t>there could be something like the essence of langu</w:t>
      </w:r>
      <w:r w:rsidR="000041B0" w:rsidRPr="00F01F5C">
        <w:rPr>
          <w:rFonts w:cs="AdvTT3713a231"/>
          <w:color w:val="131413"/>
        </w:rPr>
        <w:t xml:space="preserve">age and the general form of the </w:t>
      </w:r>
      <w:r w:rsidRPr="00F01F5C">
        <w:rPr>
          <w:rFonts w:cs="AdvTT3713a231"/>
          <w:color w:val="131413"/>
        </w:rPr>
        <w:t>proposition (cf. PI 65, 89</w:t>
      </w:r>
      <w:r w:rsidRPr="00F01F5C">
        <w:rPr>
          <w:rFonts w:cs="AdvTT3713a231+20"/>
          <w:color w:val="131413"/>
        </w:rPr>
        <w:t>–</w:t>
      </w:r>
      <w:r w:rsidRPr="00F01F5C">
        <w:rPr>
          <w:rFonts w:cs="AdvTT3713a231"/>
          <w:color w:val="131413"/>
        </w:rPr>
        <w:t>108), Wittgenstein had a</w:t>
      </w:r>
      <w:r w:rsidR="00D147BA" w:rsidRPr="00F01F5C">
        <w:rPr>
          <w:rFonts w:cs="AdvTT3713a231"/>
          <w:color w:val="131413"/>
        </w:rPr>
        <w:t xml:space="preserve">lready abandoned a unitary view </w:t>
      </w:r>
      <w:r w:rsidRPr="00F01F5C">
        <w:rPr>
          <w:rFonts w:cs="AdvTT3713a231"/>
          <w:color w:val="131413"/>
        </w:rPr>
        <w:t>of propositions. What we regard as propositions n</w:t>
      </w:r>
      <w:r w:rsidR="00D147BA" w:rsidRPr="00F01F5C">
        <w:rPr>
          <w:rFonts w:cs="AdvTT3713a231"/>
          <w:color w:val="131413"/>
        </w:rPr>
        <w:t xml:space="preserve">eed not share a common essence, </w:t>
      </w:r>
      <w:r w:rsidRPr="00F01F5C">
        <w:rPr>
          <w:rFonts w:cs="AdvTT3713a231"/>
          <w:color w:val="131413"/>
        </w:rPr>
        <w:t>such as their bipolarity, but just a complicated network of family resemblances.</w:t>
      </w:r>
    </w:p>
    <w:p w:rsidR="00AD19CC" w:rsidRPr="00F01F5C" w:rsidRDefault="003238B4" w:rsidP="004C6263">
      <w:pPr>
        <w:autoSpaceDE w:val="0"/>
        <w:autoSpaceDN w:val="0"/>
        <w:adjustRightInd w:val="0"/>
        <w:spacing w:after="0" w:line="480" w:lineRule="auto"/>
        <w:ind w:firstLine="720"/>
        <w:jc w:val="both"/>
        <w:rPr>
          <w:rFonts w:cs="AdvTT3713a231"/>
          <w:color w:val="131413"/>
        </w:rPr>
      </w:pPr>
      <w:r w:rsidRPr="00F01F5C">
        <w:rPr>
          <w:rFonts w:cs="AdvTT3713a231"/>
          <w:color w:val="131413"/>
        </w:rPr>
        <w:t>Thus,</w:t>
      </w:r>
      <w:r w:rsidR="00AD19CC" w:rsidRPr="00F01F5C">
        <w:rPr>
          <w:rFonts w:cs="AdvTT3713a231"/>
          <w:color w:val="131413"/>
        </w:rPr>
        <w:t xml:space="preserve"> by the time of OC, </w:t>
      </w:r>
      <w:r w:rsidR="00AD19CC" w:rsidRPr="00F01F5C">
        <w:rPr>
          <w:rFonts w:cs="AdvTT3713a231+20"/>
          <w:color w:val="131413"/>
        </w:rPr>
        <w:t>“</w:t>
      </w:r>
      <w:r w:rsidR="00AD19CC" w:rsidRPr="00F01F5C">
        <w:rPr>
          <w:rFonts w:cs="AdvTT3713a231"/>
          <w:color w:val="131413"/>
        </w:rPr>
        <w:t>proposition</w:t>
      </w:r>
      <w:r w:rsidR="00AD19CC" w:rsidRPr="00F01F5C">
        <w:rPr>
          <w:rFonts w:cs="AdvTT3713a231+20"/>
          <w:color w:val="131413"/>
        </w:rPr>
        <w:t xml:space="preserve">” </w:t>
      </w:r>
      <w:r w:rsidR="00D147BA" w:rsidRPr="00F01F5C">
        <w:rPr>
          <w:rFonts w:cs="AdvTT3713a231"/>
          <w:color w:val="131413"/>
        </w:rPr>
        <w:t xml:space="preserve">was something of an umbrella </w:t>
      </w:r>
      <w:r w:rsidR="00AD19CC" w:rsidRPr="00F01F5C">
        <w:rPr>
          <w:rFonts w:cs="AdvTT3713a231"/>
          <w:color w:val="131413"/>
        </w:rPr>
        <w:t xml:space="preserve">term </w:t>
      </w:r>
      <w:r w:rsidR="009A47B3" w:rsidRPr="00F01F5C">
        <w:rPr>
          <w:rFonts w:cs="AdvTT3713a231+20"/>
          <w:color w:val="131413"/>
        </w:rPr>
        <w:t>for</w:t>
      </w:r>
      <w:r w:rsidR="00AD19CC" w:rsidRPr="00F01F5C">
        <w:rPr>
          <w:rFonts w:cs="AdvTT3713a231"/>
          <w:color w:val="131413"/>
        </w:rPr>
        <w:t xml:space="preserve"> (purely) empiri</w:t>
      </w:r>
      <w:r w:rsidR="00D147BA" w:rsidRPr="00F01F5C">
        <w:rPr>
          <w:rFonts w:cs="AdvTT3713a231"/>
          <w:color w:val="131413"/>
        </w:rPr>
        <w:t xml:space="preserve">cal propositions, characterized </w:t>
      </w:r>
      <w:r w:rsidR="00AD19CC" w:rsidRPr="00F01F5C">
        <w:rPr>
          <w:rFonts w:cs="AdvTT3713a231"/>
          <w:color w:val="131413"/>
        </w:rPr>
        <w:t>by bipolarity and serving merely a descriptive func</w:t>
      </w:r>
      <w:r w:rsidR="00D147BA" w:rsidRPr="00F01F5C">
        <w:rPr>
          <w:rFonts w:cs="AdvTT3713a231"/>
          <w:color w:val="131413"/>
        </w:rPr>
        <w:t xml:space="preserve">tion; </w:t>
      </w:r>
      <w:r w:rsidR="009A47B3" w:rsidRPr="00F01F5C">
        <w:rPr>
          <w:rFonts w:cs="AdvTT3713a231"/>
          <w:color w:val="131413"/>
        </w:rPr>
        <w:t xml:space="preserve">for </w:t>
      </w:r>
      <w:r w:rsidR="00D147BA" w:rsidRPr="00F01F5C">
        <w:rPr>
          <w:rFonts w:cs="AdvTT3713a231"/>
          <w:color w:val="131413"/>
        </w:rPr>
        <w:t xml:space="preserve">grammatical propositions, </w:t>
      </w:r>
      <w:r w:rsidR="00AD19CC" w:rsidRPr="00F01F5C">
        <w:rPr>
          <w:rFonts w:cs="AdvTT3713a231"/>
          <w:color w:val="131413"/>
        </w:rPr>
        <w:t>failing at bipolarity, serving a normati</w:t>
      </w:r>
      <w:r w:rsidR="000041B0" w:rsidRPr="00F01F5C">
        <w:rPr>
          <w:rFonts w:cs="AdvTT3713a231"/>
          <w:color w:val="131413"/>
        </w:rPr>
        <w:t xml:space="preserve">ve function; and </w:t>
      </w:r>
      <w:r w:rsidR="009A47B3" w:rsidRPr="00F01F5C">
        <w:rPr>
          <w:rFonts w:cs="AdvTT3713a231"/>
          <w:color w:val="131413"/>
        </w:rPr>
        <w:t xml:space="preserve">for </w:t>
      </w:r>
      <w:r w:rsidR="000041B0" w:rsidRPr="00F01F5C">
        <w:rPr>
          <w:rFonts w:cs="AdvTT3713a231"/>
          <w:color w:val="131413"/>
        </w:rPr>
        <w:t xml:space="preserve">other kinds of </w:t>
      </w:r>
      <w:r w:rsidR="00AD19CC" w:rsidRPr="00F01F5C">
        <w:rPr>
          <w:rFonts w:cs="AdvTT3713a231"/>
          <w:color w:val="131413"/>
        </w:rPr>
        <w:t>propositions, equally failing at bipolarity and serving funct</w:t>
      </w:r>
      <w:r w:rsidR="00D147BA" w:rsidRPr="00F01F5C">
        <w:rPr>
          <w:rFonts w:cs="AdvTT3713a231"/>
          <w:color w:val="131413"/>
        </w:rPr>
        <w:t xml:space="preserve">ions other than the descriptive </w:t>
      </w:r>
      <w:r w:rsidR="0021195D" w:rsidRPr="00F01F5C">
        <w:rPr>
          <w:rFonts w:cs="AdvTT3713a231"/>
          <w:color w:val="131413"/>
        </w:rPr>
        <w:t xml:space="preserve">or the normative ones, </w:t>
      </w:r>
      <w:r w:rsidR="009A47B3" w:rsidRPr="00F01F5C">
        <w:rPr>
          <w:rFonts w:cs="AdvTT3713a231"/>
          <w:color w:val="131413"/>
        </w:rPr>
        <w:t>such as avowals, for instance.</w:t>
      </w:r>
    </w:p>
    <w:p w:rsidR="00AD19CC" w:rsidRPr="00F01F5C" w:rsidRDefault="00AD19CC" w:rsidP="004C6263">
      <w:pPr>
        <w:autoSpaceDE w:val="0"/>
        <w:autoSpaceDN w:val="0"/>
        <w:adjustRightInd w:val="0"/>
        <w:spacing w:after="0" w:line="480" w:lineRule="auto"/>
        <w:ind w:firstLine="720"/>
        <w:jc w:val="both"/>
        <w:rPr>
          <w:rFonts w:cs="AdvTT3713a231"/>
          <w:color w:val="131413"/>
        </w:rPr>
      </w:pPr>
      <w:r w:rsidRPr="00F01F5C">
        <w:rPr>
          <w:rFonts w:cs="AdvTT3713a231"/>
          <w:color w:val="131413"/>
        </w:rPr>
        <w:lastRenderedPageBreak/>
        <w:t>This doesn</w:t>
      </w:r>
      <w:r w:rsidRPr="00F01F5C">
        <w:rPr>
          <w:rFonts w:cs="AdvTT3713a231+20"/>
          <w:color w:val="131413"/>
        </w:rPr>
        <w:t>’</w:t>
      </w:r>
      <w:r w:rsidR="00D147BA" w:rsidRPr="00F01F5C">
        <w:rPr>
          <w:rFonts w:cs="AdvTT3713a231"/>
          <w:color w:val="131413"/>
        </w:rPr>
        <w:t>t mean that</w:t>
      </w:r>
      <w:r w:rsidR="001B0925" w:rsidRPr="00F01F5C">
        <w:rPr>
          <w:rFonts w:cs="AdvTT3713a231"/>
          <w:color w:val="131413"/>
        </w:rPr>
        <w:t>, for Wittgenstein,</w:t>
      </w:r>
      <w:r w:rsidR="00D147BA" w:rsidRPr="00F01F5C">
        <w:rPr>
          <w:rFonts w:cs="AdvTT3713a231"/>
          <w:color w:val="131413"/>
        </w:rPr>
        <w:t xml:space="preserve"> one can no </w:t>
      </w:r>
      <w:r w:rsidRPr="00F01F5C">
        <w:rPr>
          <w:rFonts w:cs="AdvTT3713a231"/>
          <w:color w:val="131413"/>
        </w:rPr>
        <w:t xml:space="preserve">longer draw the distinction </w:t>
      </w:r>
      <w:r w:rsidR="006C639D" w:rsidRPr="00F01F5C">
        <w:rPr>
          <w:rFonts w:cs="AdvTT3713a231"/>
          <w:color w:val="131413"/>
        </w:rPr>
        <w:t xml:space="preserve">between rules and empirical propositions </w:t>
      </w:r>
      <w:r w:rsidRPr="00F01F5C">
        <w:rPr>
          <w:rFonts w:cs="AdvTT3713a231"/>
          <w:color w:val="131413"/>
        </w:rPr>
        <w:t xml:space="preserve">(OC 98). For one can draw </w:t>
      </w:r>
      <w:r w:rsidR="00D147BA" w:rsidRPr="00F01F5C">
        <w:rPr>
          <w:rFonts w:cs="AdvTT3713a231"/>
          <w:color w:val="131413"/>
        </w:rPr>
        <w:t xml:space="preserve">the distinction at the level of </w:t>
      </w:r>
      <w:r w:rsidRPr="00F01F5C">
        <w:rPr>
          <w:rFonts w:cs="AdvTT50a2f13e.I"/>
          <w:i/>
          <w:color w:val="131413"/>
        </w:rPr>
        <w:t>function</w:t>
      </w:r>
      <w:r w:rsidRPr="00F01F5C">
        <w:rPr>
          <w:rFonts w:cs="AdvTT50a2f13e.I"/>
          <w:color w:val="131413"/>
        </w:rPr>
        <w:t xml:space="preserve"> </w:t>
      </w:r>
      <w:r w:rsidR="006C639D" w:rsidRPr="00F01F5C">
        <w:rPr>
          <w:rFonts w:cs="AdvTT3713a231"/>
          <w:color w:val="131413"/>
        </w:rPr>
        <w:t>(</w:t>
      </w:r>
      <w:r w:rsidRPr="00F01F5C">
        <w:rPr>
          <w:rFonts w:cs="AdvTT3713a231"/>
          <w:color w:val="131413"/>
        </w:rPr>
        <w:t xml:space="preserve">or </w:t>
      </w:r>
      <w:r w:rsidRPr="00F01F5C">
        <w:rPr>
          <w:rFonts w:cs="AdvTT50a2f13e.I"/>
          <w:color w:val="131413"/>
        </w:rPr>
        <w:t>role</w:t>
      </w:r>
      <w:r w:rsidR="006C639D" w:rsidRPr="00F01F5C">
        <w:rPr>
          <w:rFonts w:cs="AdvTT50a2f13e.I"/>
          <w:color w:val="131413"/>
        </w:rPr>
        <w:t>)</w:t>
      </w:r>
      <w:r w:rsidRPr="00F01F5C">
        <w:rPr>
          <w:rFonts w:cs="AdvTT3713a231"/>
          <w:color w:val="131413"/>
        </w:rPr>
        <w:t>, rather than at the level of content, by</w:t>
      </w:r>
      <w:r w:rsidR="00D147BA" w:rsidRPr="00F01F5C">
        <w:rPr>
          <w:rFonts w:cs="AdvTT3713a231"/>
          <w:color w:val="131413"/>
        </w:rPr>
        <w:t xml:space="preserve"> taking into account the actual </w:t>
      </w:r>
      <w:r w:rsidRPr="00F01F5C">
        <w:rPr>
          <w:rFonts w:cs="AdvTT3713a231"/>
          <w:color w:val="131413"/>
        </w:rPr>
        <w:t>use of the proposition at issue, and by considering whether it is exempt from doubt</w:t>
      </w:r>
      <w:r w:rsidR="006C639D" w:rsidRPr="00F01F5C">
        <w:rPr>
          <w:rFonts w:cs="AdvTT3713a231"/>
          <w:color w:val="131413"/>
        </w:rPr>
        <w:t>, or whether it is still open to verification and control</w:t>
      </w:r>
      <w:r w:rsidRPr="00F01F5C">
        <w:rPr>
          <w:rFonts w:cs="AdvTT3713a231"/>
          <w:color w:val="131413"/>
        </w:rPr>
        <w:t>.</w:t>
      </w:r>
    </w:p>
    <w:p w:rsidR="009A47B3" w:rsidRPr="00F01F5C" w:rsidRDefault="006C639D" w:rsidP="004C6263">
      <w:pPr>
        <w:autoSpaceDE w:val="0"/>
        <w:autoSpaceDN w:val="0"/>
        <w:adjustRightInd w:val="0"/>
        <w:spacing w:after="0" w:line="480" w:lineRule="auto"/>
        <w:ind w:firstLine="720"/>
        <w:jc w:val="both"/>
        <w:rPr>
          <w:rFonts w:cs="AdvTT3713a231"/>
          <w:color w:val="131413"/>
        </w:rPr>
      </w:pPr>
      <w:r w:rsidRPr="00F01F5C">
        <w:rPr>
          <w:rFonts w:cs="AdvTT3713a231"/>
          <w:color w:val="131413"/>
        </w:rPr>
        <w:t>As mentioned</w:t>
      </w:r>
      <w:r w:rsidR="00AE1F0A" w:rsidRPr="00F01F5C">
        <w:rPr>
          <w:rFonts w:cs="AdvTT3713a231"/>
          <w:color w:val="131413"/>
        </w:rPr>
        <w:t>, according to the non-</w:t>
      </w:r>
      <w:r w:rsidR="009A47B3" w:rsidRPr="00F01F5C">
        <w:rPr>
          <w:rFonts w:cs="AdvTT3713a231"/>
          <w:color w:val="131413"/>
        </w:rPr>
        <w:t>propositional reading, hinges, as such, aren</w:t>
      </w:r>
      <w:r w:rsidR="009A47B3" w:rsidRPr="00F01F5C">
        <w:rPr>
          <w:rFonts w:cs="AdvTT3713a231+20"/>
          <w:color w:val="131413"/>
        </w:rPr>
        <w:t>’</w:t>
      </w:r>
      <w:r w:rsidR="009A47B3" w:rsidRPr="00F01F5C">
        <w:rPr>
          <w:rFonts w:cs="AdvTT3713a231"/>
          <w:color w:val="131413"/>
        </w:rPr>
        <w:t xml:space="preserve">t </w:t>
      </w:r>
      <w:proofErr w:type="spellStart"/>
      <w:r w:rsidR="009A47B3" w:rsidRPr="00F01F5C">
        <w:rPr>
          <w:rFonts w:cs="AdvTT3713a231"/>
          <w:color w:val="131413"/>
        </w:rPr>
        <w:t>sayable</w:t>
      </w:r>
      <w:proofErr w:type="spellEnd"/>
      <w:r w:rsidR="009A47B3" w:rsidRPr="00F01F5C">
        <w:rPr>
          <w:rFonts w:cs="AdvTT3713a231"/>
          <w:color w:val="131413"/>
        </w:rPr>
        <w:t xml:space="preserve">. The idea </w:t>
      </w:r>
      <w:r w:rsidR="00AE1F0A" w:rsidRPr="00F01F5C">
        <w:rPr>
          <w:rFonts w:cs="AdvTT3713a231"/>
          <w:color w:val="131413"/>
        </w:rPr>
        <w:t>behind the non-</w:t>
      </w:r>
      <w:r w:rsidR="009A47B3" w:rsidRPr="00F01F5C">
        <w:rPr>
          <w:rFonts w:cs="AdvTT3713a231"/>
          <w:color w:val="131413"/>
        </w:rPr>
        <w:t xml:space="preserve">propositional reading is that, properly speaking, only what meets the requirement of bipolarity and is therefore a proposition, can actually be </w:t>
      </w:r>
      <w:r w:rsidR="009A47B3" w:rsidRPr="00F01F5C">
        <w:rPr>
          <w:rFonts w:cs="AdvTT50a2f13e.I"/>
          <w:color w:val="131413"/>
        </w:rPr>
        <w:t>said</w:t>
      </w:r>
      <w:r w:rsidR="009A47B3" w:rsidRPr="00F01F5C">
        <w:rPr>
          <w:rFonts w:cs="AdvTT3713a231"/>
          <w:color w:val="131413"/>
        </w:rPr>
        <w:t>.</w:t>
      </w:r>
      <w:r w:rsidR="009A47B3" w:rsidRPr="00F01F5C">
        <w:rPr>
          <w:rStyle w:val="FootnoteReference"/>
          <w:rFonts w:cs="AdvTT3713a231"/>
          <w:color w:val="131413"/>
        </w:rPr>
        <w:footnoteReference w:id="8"/>
      </w:r>
      <w:r w:rsidR="009A47B3" w:rsidRPr="00F01F5C">
        <w:rPr>
          <w:rFonts w:cs="AdvTT3713a231"/>
          <w:color w:val="131413"/>
        </w:rPr>
        <w:t xml:space="preserve"> What this means is that being </w:t>
      </w:r>
      <w:proofErr w:type="spellStart"/>
      <w:r w:rsidR="009A47B3" w:rsidRPr="00F01F5C">
        <w:rPr>
          <w:rFonts w:cs="AdvTT3713a231"/>
          <w:color w:val="131413"/>
        </w:rPr>
        <w:t>sayable</w:t>
      </w:r>
      <w:proofErr w:type="spellEnd"/>
      <w:r w:rsidR="009A47B3" w:rsidRPr="00F01F5C">
        <w:rPr>
          <w:rFonts w:cs="AdvTT3713a231"/>
          <w:color w:val="131413"/>
        </w:rPr>
        <w:t xml:space="preserve"> requires playing only a descriptive role and being a move </w:t>
      </w:r>
      <w:r w:rsidR="009A47B3" w:rsidRPr="00F01F5C">
        <w:rPr>
          <w:rFonts w:cs="AdvTT50a2f13e.I"/>
          <w:color w:val="131413"/>
        </w:rPr>
        <w:t xml:space="preserve">within </w:t>
      </w:r>
      <w:r w:rsidR="009A47B3" w:rsidRPr="00F01F5C">
        <w:rPr>
          <w:rFonts w:cs="AdvTT3713a231"/>
          <w:color w:val="131413"/>
        </w:rPr>
        <w:t xml:space="preserve">the language game. </w:t>
      </w:r>
      <w:r w:rsidRPr="00F01F5C">
        <w:rPr>
          <w:rFonts w:cs="AdvTT3713a231"/>
          <w:color w:val="131413"/>
        </w:rPr>
        <w:t>Yet, on this reading,</w:t>
      </w:r>
      <w:r w:rsidR="009A47B3" w:rsidRPr="00F01F5C">
        <w:rPr>
          <w:rFonts w:cs="AdvTT3713a231"/>
          <w:color w:val="131413"/>
        </w:rPr>
        <w:t xml:space="preserve"> hinges do not, nor can they play such a role, for they fail at bipolarity. Hence, they aren</w:t>
      </w:r>
      <w:r w:rsidR="009A47B3" w:rsidRPr="00F01F5C">
        <w:rPr>
          <w:rFonts w:cs="AdvTT3713a231+20"/>
          <w:color w:val="131413"/>
        </w:rPr>
        <w:t>’</w:t>
      </w:r>
      <w:r w:rsidR="009A47B3" w:rsidRPr="00F01F5C">
        <w:rPr>
          <w:rFonts w:cs="AdvTT3713a231"/>
          <w:color w:val="131413"/>
        </w:rPr>
        <w:t xml:space="preserve">t propositional and descriptive, and can never be passed within the language game as a piece of information. </w:t>
      </w:r>
      <w:r w:rsidR="001D6F0C" w:rsidRPr="00F01F5C">
        <w:rPr>
          <w:rFonts w:cs="AdvTT3713a231"/>
          <w:color w:val="131413"/>
        </w:rPr>
        <w:t>If</w:t>
      </w:r>
      <w:r w:rsidR="009A47B3" w:rsidRPr="00F01F5C">
        <w:rPr>
          <w:rFonts w:cs="AdvTT3713a231"/>
          <w:color w:val="131413"/>
        </w:rPr>
        <w:t xml:space="preserve"> they are uttered, they are only spoken heuristically, to remind someone of their status and role. </w:t>
      </w:r>
      <w:r w:rsidR="001D6F0C" w:rsidRPr="00F01F5C">
        <w:rPr>
          <w:rFonts w:cs="AdvTT3713a231"/>
          <w:color w:val="131413"/>
        </w:rPr>
        <w:t>Still,</w:t>
      </w:r>
      <w:r w:rsidR="009A47B3" w:rsidRPr="00F01F5C">
        <w:rPr>
          <w:rFonts w:cs="AdvTT3713a231"/>
          <w:color w:val="131413"/>
        </w:rPr>
        <w:t xml:space="preserve"> this wouldn</w:t>
      </w:r>
      <w:r w:rsidR="009A47B3" w:rsidRPr="00F01F5C">
        <w:rPr>
          <w:rFonts w:cs="AdvTT3713a231+20"/>
          <w:color w:val="131413"/>
        </w:rPr>
        <w:t>’</w:t>
      </w:r>
      <w:r w:rsidR="009A47B3" w:rsidRPr="00F01F5C">
        <w:rPr>
          <w:rFonts w:cs="AdvTT3713a231"/>
          <w:color w:val="131413"/>
        </w:rPr>
        <w:t>t amount to saying them and, as a matter of fact, hinges would manifest or show themselves as such only in action.</w:t>
      </w:r>
    </w:p>
    <w:p w:rsidR="009A47B3" w:rsidRPr="00F01F5C" w:rsidRDefault="001D6F0C" w:rsidP="004C6263">
      <w:pPr>
        <w:autoSpaceDE w:val="0"/>
        <w:autoSpaceDN w:val="0"/>
        <w:adjustRightInd w:val="0"/>
        <w:spacing w:after="0" w:line="480" w:lineRule="auto"/>
        <w:ind w:firstLine="720"/>
        <w:jc w:val="both"/>
        <w:rPr>
          <w:rFonts w:cs="AdvTT3713a231"/>
          <w:color w:val="131413"/>
        </w:rPr>
      </w:pPr>
      <w:r w:rsidRPr="00F01F5C">
        <w:rPr>
          <w:rFonts w:cs="AdvTT3713a231"/>
          <w:color w:val="131413"/>
        </w:rPr>
        <w:t xml:space="preserve">Now, as is well </w:t>
      </w:r>
      <w:r w:rsidR="009A47B3" w:rsidRPr="00F01F5C">
        <w:rPr>
          <w:rFonts w:cs="AdvTT3713a231"/>
          <w:color w:val="131413"/>
        </w:rPr>
        <w:t xml:space="preserve">known, the saying/showing dichotomy is a sort of </w:t>
      </w:r>
      <w:r w:rsidR="009A47B3" w:rsidRPr="00F01F5C">
        <w:rPr>
          <w:rFonts w:cs="AdvTT3713a231+20"/>
          <w:color w:val="131413"/>
        </w:rPr>
        <w:t>“</w:t>
      </w:r>
      <w:r w:rsidR="009A47B3" w:rsidRPr="00F01F5C">
        <w:rPr>
          <w:rFonts w:cs="AdvTT3713a231"/>
          <w:color w:val="131413"/>
        </w:rPr>
        <w:t>technical</w:t>
      </w:r>
      <w:r w:rsidR="009A47B3" w:rsidRPr="00F01F5C">
        <w:rPr>
          <w:rFonts w:cs="AdvTT3713a231+20"/>
          <w:color w:val="131413"/>
        </w:rPr>
        <w:t>”</w:t>
      </w:r>
      <w:r w:rsidR="009A47B3" w:rsidRPr="00F01F5C">
        <w:rPr>
          <w:rFonts w:cs="AdvTT3713a231"/>
          <w:color w:val="131413"/>
        </w:rPr>
        <w:t xml:space="preserve"> distinction that belongs to the </w:t>
      </w:r>
      <w:proofErr w:type="spellStart"/>
      <w:r w:rsidR="009A47B3" w:rsidRPr="00F01F5C">
        <w:rPr>
          <w:rFonts w:cs="AdvTT50a2f13e.I"/>
          <w:i/>
          <w:color w:val="131413"/>
        </w:rPr>
        <w:t>Tractatus</w:t>
      </w:r>
      <w:proofErr w:type="spellEnd"/>
      <w:r w:rsidR="009A47B3" w:rsidRPr="00F01F5C">
        <w:rPr>
          <w:rFonts w:cs="AdvTT3713a231"/>
          <w:color w:val="131413"/>
        </w:rPr>
        <w:t xml:space="preserve">. By the time of OC, through the development along the years of the notion of grammar, I think it lost much of its importance and theoretical significance. After all, in the </w:t>
      </w:r>
      <w:proofErr w:type="spellStart"/>
      <w:r w:rsidR="009A47B3" w:rsidRPr="00F01F5C">
        <w:rPr>
          <w:rFonts w:cs="AdvTT50a2f13e.I"/>
          <w:i/>
          <w:color w:val="131413"/>
        </w:rPr>
        <w:t>Tractatus</w:t>
      </w:r>
      <w:proofErr w:type="spellEnd"/>
      <w:r w:rsidR="009A47B3" w:rsidRPr="00F01F5C">
        <w:rPr>
          <w:rFonts w:cs="AdvTT3713a231"/>
          <w:color w:val="131413"/>
        </w:rPr>
        <w:t>, among the many things which couldn</w:t>
      </w:r>
      <w:r w:rsidR="009A47B3" w:rsidRPr="00F01F5C">
        <w:rPr>
          <w:rFonts w:cs="AdvTT3713a231+20"/>
          <w:color w:val="131413"/>
        </w:rPr>
        <w:t>’</w:t>
      </w:r>
      <w:r w:rsidR="009A47B3" w:rsidRPr="00F01F5C">
        <w:rPr>
          <w:rFonts w:cs="AdvTT3713a231"/>
          <w:color w:val="131413"/>
        </w:rPr>
        <w:t xml:space="preserve">t be said but only shown, there were the conditions of sense. </w:t>
      </w:r>
      <w:r w:rsidRPr="00F01F5C">
        <w:rPr>
          <w:rFonts w:cs="AdvTT3713a231"/>
          <w:color w:val="131413"/>
        </w:rPr>
        <w:t>Yet</w:t>
      </w:r>
      <w:r w:rsidR="006C639D" w:rsidRPr="00F01F5C">
        <w:rPr>
          <w:rFonts w:cs="AdvTT3713a231"/>
          <w:color w:val="131413"/>
        </w:rPr>
        <w:t xml:space="preserve">, after the </w:t>
      </w:r>
      <w:proofErr w:type="spellStart"/>
      <w:r w:rsidR="006C639D" w:rsidRPr="00F01F5C">
        <w:rPr>
          <w:rFonts w:cs="AdvTT3713a231"/>
          <w:i/>
          <w:color w:val="131413"/>
        </w:rPr>
        <w:t>Tractatus</w:t>
      </w:r>
      <w:proofErr w:type="spellEnd"/>
      <w:r w:rsidR="006C639D" w:rsidRPr="00F01F5C">
        <w:rPr>
          <w:rFonts w:cs="AdvTT3713a231"/>
          <w:color w:val="131413"/>
        </w:rPr>
        <w:t>,</w:t>
      </w:r>
      <w:r w:rsidR="009A47B3" w:rsidRPr="00F01F5C">
        <w:rPr>
          <w:rFonts w:cs="AdvTT3713a231"/>
          <w:color w:val="131413"/>
        </w:rPr>
        <w:t xml:space="preserve"> they had become effable in the form of grammatical propositions. Indeed, much of Wittgenstein</w:t>
      </w:r>
      <w:r w:rsidR="009A47B3" w:rsidRPr="00F01F5C">
        <w:rPr>
          <w:rFonts w:cs="AdvTT3713a231+20"/>
          <w:color w:val="131413"/>
        </w:rPr>
        <w:t>’</w:t>
      </w:r>
      <w:r w:rsidR="009A47B3" w:rsidRPr="00F01F5C">
        <w:rPr>
          <w:rFonts w:cs="AdvTT3713a231"/>
          <w:color w:val="131413"/>
        </w:rPr>
        <w:t xml:space="preserve">s positive contribution to philosophy, as he puts it in a suggestive image in the </w:t>
      </w:r>
      <w:r w:rsidR="009A47B3" w:rsidRPr="00F01F5C">
        <w:rPr>
          <w:rFonts w:cs="AdvTT50a2f13e.I"/>
          <w:i/>
          <w:color w:val="131413"/>
        </w:rPr>
        <w:t>Philosophical</w:t>
      </w:r>
      <w:r w:rsidR="009A47B3" w:rsidRPr="00F01F5C">
        <w:rPr>
          <w:rFonts w:cs="AdvTT50a2f13e.I"/>
          <w:color w:val="131413"/>
        </w:rPr>
        <w:t xml:space="preserve"> </w:t>
      </w:r>
      <w:r w:rsidR="009A47B3" w:rsidRPr="00F01F5C">
        <w:rPr>
          <w:rFonts w:cs="AdvTT50a2f13e.I"/>
          <w:i/>
          <w:color w:val="131413"/>
        </w:rPr>
        <w:t>Investigations</w:t>
      </w:r>
      <w:r w:rsidR="009A47B3" w:rsidRPr="00F01F5C">
        <w:rPr>
          <w:rFonts w:cs="AdvTT3713a231"/>
          <w:color w:val="131413"/>
        </w:rPr>
        <w:t xml:space="preserve">, is to let us see that whole clouds of metaphysics are condensed in a drop of grammar (PI II, p. 222). To take that dichotomy seriously is what would force one to hold that hinges </w:t>
      </w:r>
      <w:r w:rsidR="009A47B3" w:rsidRPr="00F01F5C">
        <w:rPr>
          <w:rFonts w:cs="AdvTT50a2f13e.I"/>
          <w:i/>
          <w:color w:val="131413"/>
        </w:rPr>
        <w:t>qua</w:t>
      </w:r>
      <w:r w:rsidR="009A47B3" w:rsidRPr="00F01F5C">
        <w:rPr>
          <w:rFonts w:cs="AdvTT50a2f13e.I"/>
          <w:color w:val="131413"/>
        </w:rPr>
        <w:t xml:space="preserve"> </w:t>
      </w:r>
      <w:r w:rsidR="009A47B3" w:rsidRPr="00F01F5C">
        <w:rPr>
          <w:rFonts w:cs="AdvTT3713a231"/>
          <w:color w:val="131413"/>
        </w:rPr>
        <w:t xml:space="preserve">hinges are only shown in action. </w:t>
      </w:r>
      <w:r w:rsidRPr="00F01F5C">
        <w:rPr>
          <w:rFonts w:cs="AdvTT3713a231"/>
          <w:color w:val="131413"/>
        </w:rPr>
        <w:t>Still,</w:t>
      </w:r>
      <w:r w:rsidR="009A47B3" w:rsidRPr="00F01F5C">
        <w:rPr>
          <w:rFonts w:cs="AdvTT3713a231"/>
          <w:color w:val="131413"/>
        </w:rPr>
        <w:t xml:space="preserve"> </w:t>
      </w:r>
      <w:proofErr w:type="spellStart"/>
      <w:r w:rsidR="009A47B3" w:rsidRPr="00F01F5C">
        <w:rPr>
          <w:rFonts w:cs="AdvTT3713a231"/>
          <w:color w:val="131413"/>
        </w:rPr>
        <w:t>Moyal</w:t>
      </w:r>
      <w:proofErr w:type="spellEnd"/>
      <w:r w:rsidR="009A47B3" w:rsidRPr="00F01F5C">
        <w:rPr>
          <w:rFonts w:cs="AdvTT3713a231"/>
          <w:color w:val="131413"/>
        </w:rPr>
        <w:t xml:space="preserve">-Sharrock herself wants hinges to be effable at least when they serve the heuristic purpose of reminding a philosopher of their proper role, or of teaching someone the rules that govern our linguistic and epistemic practices. Yet, when they are </w:t>
      </w:r>
      <w:r w:rsidR="009A47B3" w:rsidRPr="00F01F5C">
        <w:rPr>
          <w:rFonts w:cs="AdvTT3713a231"/>
          <w:color w:val="131413"/>
        </w:rPr>
        <w:lastRenderedPageBreak/>
        <w:t xml:space="preserve">spoken in order to serve these latter purposes, they are </w:t>
      </w:r>
      <w:proofErr w:type="gramStart"/>
      <w:r w:rsidR="009A47B3" w:rsidRPr="00F01F5C">
        <w:rPr>
          <w:rFonts w:cs="AdvTT3713a231"/>
          <w:color w:val="131413"/>
        </w:rPr>
        <w:t>actually presented</w:t>
      </w:r>
      <w:proofErr w:type="gramEnd"/>
      <w:r w:rsidR="009A47B3" w:rsidRPr="00F01F5C">
        <w:rPr>
          <w:rFonts w:cs="AdvTT3713a231"/>
          <w:color w:val="131413"/>
        </w:rPr>
        <w:t xml:space="preserve"> </w:t>
      </w:r>
      <w:r w:rsidR="009A47B3" w:rsidRPr="004C6263">
        <w:rPr>
          <w:rFonts w:cs="AdvTT3713a231"/>
          <w:i/>
          <w:iCs/>
          <w:color w:val="131413"/>
        </w:rPr>
        <w:t>as hinges</w:t>
      </w:r>
      <w:r w:rsidR="009A47B3" w:rsidRPr="00F01F5C">
        <w:rPr>
          <w:rFonts w:cs="AdvTT3713a231"/>
          <w:color w:val="131413"/>
        </w:rPr>
        <w:t xml:space="preserve">. </w:t>
      </w:r>
      <w:r w:rsidRPr="00F01F5C">
        <w:rPr>
          <w:rFonts w:cs="AdvTT3713a231"/>
          <w:color w:val="131413"/>
        </w:rPr>
        <w:t xml:space="preserve">Thus, </w:t>
      </w:r>
      <w:r w:rsidR="009A47B3" w:rsidRPr="00F01F5C">
        <w:rPr>
          <w:rFonts w:cs="AdvTT3713a231"/>
          <w:color w:val="131413"/>
        </w:rPr>
        <w:t>there is a tension here: either, whenever spoken, hinges aren</w:t>
      </w:r>
      <w:r w:rsidR="009A47B3" w:rsidRPr="00F01F5C">
        <w:rPr>
          <w:rFonts w:cs="AdvTT3713a231+20"/>
          <w:color w:val="131413"/>
        </w:rPr>
        <w:t>’</w:t>
      </w:r>
      <w:r w:rsidR="009A47B3" w:rsidRPr="00F01F5C">
        <w:rPr>
          <w:rFonts w:cs="AdvTT3713a231"/>
          <w:color w:val="131413"/>
        </w:rPr>
        <w:t xml:space="preserve">t presented </w:t>
      </w:r>
      <w:r w:rsidR="009A47B3" w:rsidRPr="00F01F5C">
        <w:rPr>
          <w:rFonts w:cs="AdvTT50a2f13e.I"/>
          <w:i/>
          <w:color w:val="131413"/>
        </w:rPr>
        <w:t>qua</w:t>
      </w:r>
      <w:r w:rsidR="009A47B3" w:rsidRPr="00F01F5C">
        <w:rPr>
          <w:rFonts w:cs="AdvTT50a2f13e.I"/>
          <w:color w:val="131413"/>
        </w:rPr>
        <w:t xml:space="preserve"> </w:t>
      </w:r>
      <w:r w:rsidR="009A47B3" w:rsidRPr="00F01F5C">
        <w:rPr>
          <w:rFonts w:cs="AdvTT3713a231"/>
          <w:color w:val="131413"/>
        </w:rPr>
        <w:t xml:space="preserve">hinges, and they can manifest themselves </w:t>
      </w:r>
      <w:r w:rsidR="009A47B3" w:rsidRPr="004C6263">
        <w:rPr>
          <w:rFonts w:cs="AdvTT3713a231"/>
          <w:i/>
          <w:iCs/>
          <w:color w:val="131413"/>
        </w:rPr>
        <w:t>as such</w:t>
      </w:r>
      <w:r w:rsidR="009A47B3" w:rsidRPr="00F01F5C">
        <w:rPr>
          <w:rFonts w:cs="AdvTT3713a231"/>
          <w:color w:val="131413"/>
        </w:rPr>
        <w:t xml:space="preserve"> only in action; or else, they can after all be said </w:t>
      </w:r>
      <w:r w:rsidR="009A47B3" w:rsidRPr="00F01F5C">
        <w:rPr>
          <w:rFonts w:cs="AdvTT50a2f13e.I"/>
          <w:i/>
          <w:color w:val="131413"/>
        </w:rPr>
        <w:t>qua</w:t>
      </w:r>
      <w:r w:rsidR="009A47B3" w:rsidRPr="00F01F5C">
        <w:rPr>
          <w:rFonts w:cs="AdvTT50a2f13e.I"/>
          <w:color w:val="131413"/>
        </w:rPr>
        <w:t xml:space="preserve"> </w:t>
      </w:r>
      <w:r w:rsidR="009A47B3" w:rsidRPr="00F01F5C">
        <w:rPr>
          <w:rFonts w:cs="AdvTT3713a231"/>
          <w:color w:val="131413"/>
        </w:rPr>
        <w:t xml:space="preserve">hinges, even though </w:t>
      </w:r>
      <w:r w:rsidR="00AE1F0A" w:rsidRPr="00F01F5C">
        <w:rPr>
          <w:rFonts w:cs="AdvTT3713a231"/>
          <w:color w:val="131413"/>
        </w:rPr>
        <w:t xml:space="preserve">merely </w:t>
      </w:r>
      <w:r w:rsidR="009A47B3" w:rsidRPr="00F01F5C">
        <w:rPr>
          <w:rFonts w:cs="AdvTT3713a231"/>
          <w:color w:val="131413"/>
        </w:rPr>
        <w:t>to serve heuristic purposes, as is actually the case when we do philosophy with Wittgenstein and engage in the more ordinary activity of teaching someone how (best) to take part in our linguistic and epistemic practices.</w:t>
      </w:r>
    </w:p>
    <w:p w:rsidR="0054280F" w:rsidRPr="00F01F5C" w:rsidRDefault="001B0925" w:rsidP="004C6263">
      <w:pPr>
        <w:autoSpaceDE w:val="0"/>
        <w:autoSpaceDN w:val="0"/>
        <w:adjustRightInd w:val="0"/>
        <w:spacing w:after="0" w:line="480" w:lineRule="auto"/>
        <w:ind w:firstLine="720"/>
        <w:jc w:val="both"/>
        <w:rPr>
          <w:rFonts w:cs="AdvTT3713a231"/>
          <w:color w:val="131413"/>
        </w:rPr>
      </w:pPr>
      <w:r w:rsidRPr="00F01F5C">
        <w:rPr>
          <w:rFonts w:cs="AdvTT3713a231"/>
          <w:color w:val="131413"/>
        </w:rPr>
        <w:t>Notice, moreover, that for</w:t>
      </w:r>
      <w:r w:rsidR="009A47B3" w:rsidRPr="00F01F5C">
        <w:rPr>
          <w:rFonts w:cs="AdvTT3713a231"/>
          <w:color w:val="131413"/>
        </w:rPr>
        <w:t xml:space="preserve"> the later Wittgenstein </w:t>
      </w:r>
      <w:r w:rsidRPr="00F01F5C">
        <w:rPr>
          <w:rFonts w:cs="AdvTT3713a231"/>
          <w:color w:val="131413"/>
        </w:rPr>
        <w:t>teaching someone the meaning of our words and norms of evidential significance would be a</w:t>
      </w:r>
      <w:r w:rsidR="009A47B3" w:rsidRPr="00F01F5C">
        <w:rPr>
          <w:rFonts w:cs="AdvTT3713a231"/>
          <w:color w:val="131413"/>
        </w:rPr>
        <w:t xml:space="preserve"> genuine language gam</w:t>
      </w:r>
      <w:r w:rsidRPr="00F01F5C">
        <w:rPr>
          <w:rFonts w:cs="AdvTT3713a231"/>
          <w:color w:val="131413"/>
        </w:rPr>
        <w:t>e. For, a</w:t>
      </w:r>
      <w:r w:rsidR="009A47B3" w:rsidRPr="00F01F5C">
        <w:rPr>
          <w:rFonts w:cs="AdvTT3713a231"/>
          <w:color w:val="131413"/>
        </w:rPr>
        <w:t xml:space="preserve">fter all, the very idea of a language game is introduced in the </w:t>
      </w:r>
      <w:r w:rsidR="009A47B3" w:rsidRPr="00F01F5C">
        <w:rPr>
          <w:rFonts w:cs="AdvTT50a2f13e.I"/>
          <w:i/>
          <w:color w:val="131413"/>
        </w:rPr>
        <w:t>Philosophical Investigations</w:t>
      </w:r>
      <w:r w:rsidR="009A47B3" w:rsidRPr="00F01F5C">
        <w:rPr>
          <w:rFonts w:cs="AdvTT50a2f13e.I"/>
          <w:color w:val="131413"/>
        </w:rPr>
        <w:t xml:space="preserve"> </w:t>
      </w:r>
      <w:r w:rsidR="009A47B3" w:rsidRPr="00F01F5C">
        <w:rPr>
          <w:rFonts w:cs="AdvTT3713a231"/>
          <w:color w:val="131413"/>
        </w:rPr>
        <w:t xml:space="preserve">in connection with the conditions and preconditions for this kind of teaching (PI 7 </w:t>
      </w:r>
      <w:r w:rsidRPr="00F01F5C">
        <w:rPr>
          <w:rFonts w:cs="AdvTT3713a231"/>
          <w:color w:val="131413"/>
        </w:rPr>
        <w:t>ff</w:t>
      </w:r>
      <w:r w:rsidR="009A47B3" w:rsidRPr="00F01F5C">
        <w:rPr>
          <w:rFonts w:cs="AdvTT3713a231"/>
          <w:color w:val="131413"/>
        </w:rPr>
        <w:t xml:space="preserve">). </w:t>
      </w:r>
      <w:r w:rsidRPr="00F01F5C">
        <w:rPr>
          <w:rFonts w:cs="AdvTT3713a231"/>
          <w:color w:val="131413"/>
        </w:rPr>
        <w:t>Thus</w:t>
      </w:r>
      <w:r w:rsidR="009A47B3" w:rsidRPr="00F01F5C">
        <w:rPr>
          <w:rFonts w:cs="AdvTT3713a231"/>
          <w:color w:val="131413"/>
        </w:rPr>
        <w:t xml:space="preserve">, hinges are effable as such </w:t>
      </w:r>
      <w:r w:rsidR="009A47B3" w:rsidRPr="00F01F5C">
        <w:rPr>
          <w:rFonts w:cs="AdvTT50a2f13e.I"/>
          <w:color w:val="131413"/>
        </w:rPr>
        <w:t xml:space="preserve">within </w:t>
      </w:r>
      <w:r w:rsidR="009A47B3" w:rsidRPr="00F01F5C">
        <w:rPr>
          <w:rFonts w:cs="AdvTT3713a231"/>
          <w:color w:val="131413"/>
        </w:rPr>
        <w:t xml:space="preserve">some language games, though not in ones which serve a merely descriptive purpose. </w:t>
      </w:r>
      <w:r w:rsidR="001D6F0C" w:rsidRPr="00F01F5C">
        <w:rPr>
          <w:rFonts w:cs="AdvTT3713a231"/>
          <w:color w:val="131413"/>
        </w:rPr>
        <w:t>Yet, I take it to be</w:t>
      </w:r>
      <w:r w:rsidR="009A47B3" w:rsidRPr="00F01F5C">
        <w:rPr>
          <w:rFonts w:cs="AdvTT3713a231"/>
          <w:color w:val="131413"/>
        </w:rPr>
        <w:t xml:space="preserve"> the lesson of Wittgenstein</w:t>
      </w:r>
      <w:r w:rsidR="009A47B3" w:rsidRPr="00F01F5C">
        <w:rPr>
          <w:rFonts w:cs="AdvTT3713a231+20"/>
          <w:color w:val="131413"/>
        </w:rPr>
        <w:t>’</w:t>
      </w:r>
      <w:r w:rsidR="009A47B3" w:rsidRPr="00F01F5C">
        <w:rPr>
          <w:rFonts w:cs="AdvTT3713a231"/>
          <w:color w:val="131413"/>
        </w:rPr>
        <w:t>s later philosophy that we shouldn</w:t>
      </w:r>
      <w:r w:rsidR="009A47B3" w:rsidRPr="00F01F5C">
        <w:rPr>
          <w:rFonts w:cs="AdvTT3713a231+20"/>
          <w:color w:val="131413"/>
        </w:rPr>
        <w:t>’</w:t>
      </w:r>
      <w:r w:rsidR="009A47B3" w:rsidRPr="00F01F5C">
        <w:rPr>
          <w:rFonts w:cs="AdvTT3713a231"/>
          <w:color w:val="131413"/>
        </w:rPr>
        <w:t>t be fixated with just th</w:t>
      </w:r>
      <w:r w:rsidR="001D6F0C" w:rsidRPr="00F01F5C">
        <w:rPr>
          <w:rFonts w:cs="AdvTT3713a231"/>
          <w:color w:val="131413"/>
        </w:rPr>
        <w:t>at use of language.</w:t>
      </w:r>
      <w:r w:rsidR="009A47B3" w:rsidRPr="00F01F5C">
        <w:rPr>
          <w:rFonts w:cs="AdvTT3713a231"/>
          <w:color w:val="131413"/>
        </w:rPr>
        <w:t xml:space="preserve"> </w:t>
      </w:r>
      <w:r w:rsidRPr="00F01F5C">
        <w:rPr>
          <w:rFonts w:cs="AdvTT3713a231"/>
          <w:color w:val="131413"/>
        </w:rPr>
        <w:t xml:space="preserve">Once </w:t>
      </w:r>
      <w:r w:rsidR="009A47B3" w:rsidRPr="00F01F5C">
        <w:rPr>
          <w:rFonts w:cs="AdvTT3713a231"/>
          <w:color w:val="131413"/>
        </w:rPr>
        <w:t xml:space="preserve">that obsession is abandoned, then </w:t>
      </w:r>
      <w:proofErr w:type="gramStart"/>
      <w:r w:rsidR="009A47B3" w:rsidRPr="00F01F5C">
        <w:rPr>
          <w:rFonts w:cs="AdvTT3713a231"/>
          <w:color w:val="131413"/>
        </w:rPr>
        <w:t>a number of</w:t>
      </w:r>
      <w:proofErr w:type="gramEnd"/>
      <w:r w:rsidR="009A47B3" w:rsidRPr="00F01F5C">
        <w:rPr>
          <w:rFonts w:cs="AdvTT3713a231"/>
          <w:color w:val="131413"/>
        </w:rPr>
        <w:t xml:space="preserve"> only seemingly clear-cut distinctions, such as </w:t>
      </w:r>
      <w:r w:rsidR="00417AF4" w:rsidRPr="00F01F5C">
        <w:rPr>
          <w:rFonts w:cs="AdvTT3713a231"/>
          <w:color w:val="131413"/>
        </w:rPr>
        <w:t>propositional/non-propositional</w:t>
      </w:r>
      <w:r w:rsidR="009A47B3" w:rsidRPr="00F01F5C">
        <w:rPr>
          <w:rFonts w:cs="AdvTT3713a231"/>
          <w:color w:val="131413"/>
        </w:rPr>
        <w:t xml:space="preserve"> and the saying/showing dichotomy, would have to be discarded as well.</w:t>
      </w:r>
      <w:r w:rsidR="00560F21" w:rsidRPr="00F01F5C">
        <w:rPr>
          <w:rFonts w:cs="AdvTT3713a231"/>
          <w:color w:val="131413"/>
        </w:rPr>
        <w:t xml:space="preserve"> </w:t>
      </w:r>
    </w:p>
    <w:p w:rsidR="00B42F3F" w:rsidRPr="00F01F5C" w:rsidRDefault="0054280F" w:rsidP="004C6263">
      <w:pPr>
        <w:autoSpaceDE w:val="0"/>
        <w:autoSpaceDN w:val="0"/>
        <w:adjustRightInd w:val="0"/>
        <w:spacing w:after="0" w:line="480" w:lineRule="auto"/>
        <w:ind w:firstLine="720"/>
        <w:jc w:val="both"/>
        <w:rPr>
          <w:rFonts w:cs="AdvTT3713a231"/>
          <w:color w:val="131413"/>
        </w:rPr>
      </w:pPr>
      <w:r w:rsidRPr="00F01F5C">
        <w:rPr>
          <w:rFonts w:cs="AdvTTb8864ccf.B"/>
          <w:color w:val="131413"/>
        </w:rPr>
        <w:t xml:space="preserve">Concerning </w:t>
      </w:r>
      <w:proofErr w:type="spellStart"/>
      <w:r w:rsidRPr="00F01F5C">
        <w:rPr>
          <w:rFonts w:cs="AdvTTb8864ccf.B"/>
          <w:color w:val="131413"/>
        </w:rPr>
        <w:t>Moyal</w:t>
      </w:r>
      <w:proofErr w:type="spellEnd"/>
      <w:r w:rsidRPr="00F01F5C">
        <w:rPr>
          <w:rFonts w:cs="AdvTTb8864ccf.B"/>
          <w:color w:val="131413"/>
        </w:rPr>
        <w:t xml:space="preserve">-Sharrock’s account of certainty, </w:t>
      </w:r>
      <w:r w:rsidRPr="00F01F5C">
        <w:rPr>
          <w:rFonts w:cs="AdvTT3713a231"/>
          <w:color w:val="131413"/>
        </w:rPr>
        <w:t>there is no doubt that</w:t>
      </w:r>
      <w:r w:rsidR="00AD19CC" w:rsidRPr="00F01F5C">
        <w:rPr>
          <w:rFonts w:cs="AdvTT3713a231"/>
          <w:color w:val="131413"/>
        </w:rPr>
        <w:t xml:space="preserve"> animal certainty</w:t>
      </w:r>
      <w:r w:rsidR="00AD19CC" w:rsidRPr="00F01F5C">
        <w:rPr>
          <w:rFonts w:cs="AdvTT3713a231+20"/>
          <w:color w:val="131413"/>
        </w:rPr>
        <w:t xml:space="preserve"> </w:t>
      </w:r>
      <w:r w:rsidR="000041B0" w:rsidRPr="00F01F5C">
        <w:rPr>
          <w:rFonts w:cs="AdvTT3713a231"/>
          <w:color w:val="131413"/>
        </w:rPr>
        <w:t xml:space="preserve">is a theme in OC, </w:t>
      </w:r>
      <w:r w:rsidR="00AD19CC" w:rsidRPr="00F01F5C">
        <w:rPr>
          <w:rFonts w:cs="AdvTT3713a231"/>
          <w:color w:val="131413"/>
        </w:rPr>
        <w:t>but I don</w:t>
      </w:r>
      <w:r w:rsidR="00AD19CC" w:rsidRPr="00F01F5C">
        <w:rPr>
          <w:rFonts w:cs="AdvTT3713a231+20"/>
          <w:color w:val="131413"/>
        </w:rPr>
        <w:t>’</w:t>
      </w:r>
      <w:r w:rsidR="00AD19CC" w:rsidRPr="00F01F5C">
        <w:rPr>
          <w:rFonts w:cs="AdvTT3713a231"/>
          <w:color w:val="131413"/>
        </w:rPr>
        <w:t>t think it is the focus of the book, or it</w:t>
      </w:r>
      <w:r w:rsidRPr="00F01F5C">
        <w:rPr>
          <w:rFonts w:cs="AdvTT3713a231"/>
          <w:color w:val="131413"/>
        </w:rPr>
        <w:t xml:space="preserve">s most original contribution to </w:t>
      </w:r>
      <w:r w:rsidR="00AD19CC" w:rsidRPr="00F01F5C">
        <w:rPr>
          <w:rFonts w:cs="AdvTT3713a231"/>
          <w:color w:val="131413"/>
        </w:rPr>
        <w:t>the debate about the relationship between s</w:t>
      </w:r>
      <w:r w:rsidRPr="00F01F5C">
        <w:rPr>
          <w:rFonts w:cs="AdvTT3713a231"/>
          <w:color w:val="131413"/>
        </w:rPr>
        <w:t xml:space="preserve">kepticism and common sense. The </w:t>
      </w:r>
      <w:r w:rsidR="00AD19CC" w:rsidRPr="00F01F5C">
        <w:rPr>
          <w:rFonts w:cs="AdvTT3713a231"/>
          <w:color w:val="131413"/>
        </w:rPr>
        <w:t xml:space="preserve">focus of </w:t>
      </w:r>
      <w:r w:rsidR="0027334B" w:rsidRPr="00F01F5C">
        <w:rPr>
          <w:rFonts w:cs="AdvTT50a2f13e.I"/>
          <w:color w:val="131413"/>
        </w:rPr>
        <w:t>OC</w:t>
      </w:r>
      <w:r w:rsidR="00AD19CC" w:rsidRPr="00F01F5C">
        <w:rPr>
          <w:rFonts w:cs="AdvTT3713a231"/>
          <w:color w:val="131413"/>
        </w:rPr>
        <w:t>, notwithstanding the decept</w:t>
      </w:r>
      <w:r w:rsidRPr="00F01F5C">
        <w:rPr>
          <w:rFonts w:cs="AdvTT3713a231"/>
          <w:color w:val="131413"/>
        </w:rPr>
        <w:t xml:space="preserve">ive appearance suggested by the </w:t>
      </w:r>
      <w:r w:rsidR="00AD19CC" w:rsidRPr="00F01F5C">
        <w:rPr>
          <w:rFonts w:cs="AdvTT3713a231"/>
          <w:color w:val="131413"/>
        </w:rPr>
        <w:t>title,</w:t>
      </w:r>
      <w:r w:rsidRPr="00F01F5C">
        <w:rPr>
          <w:rStyle w:val="FootnoteReference"/>
          <w:rFonts w:cs="AdvTT3713a231"/>
          <w:color w:val="131413"/>
        </w:rPr>
        <w:footnoteReference w:id="9"/>
      </w:r>
      <w:r w:rsidR="00AD19CC" w:rsidRPr="00F01F5C">
        <w:rPr>
          <w:rFonts w:cs="AdvTT3713a231"/>
          <w:color w:val="131413"/>
        </w:rPr>
        <w:t xml:space="preserve"> are hinges and the characterization of their role wit</w:t>
      </w:r>
      <w:r w:rsidRPr="00F01F5C">
        <w:rPr>
          <w:rFonts w:cs="AdvTT3713a231"/>
          <w:color w:val="131413"/>
        </w:rPr>
        <w:t xml:space="preserve">hin our epistemic practices. </w:t>
      </w:r>
      <w:r w:rsidR="00AD19CC" w:rsidRPr="00F01F5C">
        <w:rPr>
          <w:rFonts w:cs="AdvTT3713a231"/>
          <w:color w:val="131413"/>
        </w:rPr>
        <w:t xml:space="preserve">Using a helpful terminology introduced by </w:t>
      </w:r>
      <w:proofErr w:type="spellStart"/>
      <w:r w:rsidR="00AD19CC" w:rsidRPr="00F01F5C">
        <w:rPr>
          <w:rFonts w:cs="AdvTT3713a231"/>
          <w:color w:val="131413"/>
        </w:rPr>
        <w:t>Moyal</w:t>
      </w:r>
      <w:proofErr w:type="spellEnd"/>
      <w:r w:rsidR="00AD19CC" w:rsidRPr="00F01F5C">
        <w:rPr>
          <w:rFonts w:cs="AdvTT3713a231"/>
          <w:color w:val="131413"/>
        </w:rPr>
        <w:t>-Sha</w:t>
      </w:r>
      <w:r w:rsidRPr="00F01F5C">
        <w:rPr>
          <w:rFonts w:cs="AdvTT3713a231"/>
          <w:color w:val="131413"/>
        </w:rPr>
        <w:t xml:space="preserve">rrock, we could say that at the </w:t>
      </w:r>
      <w:r w:rsidR="00AD19CC" w:rsidRPr="00F01F5C">
        <w:rPr>
          <w:rFonts w:cs="AdvTT3713a231"/>
          <w:color w:val="131413"/>
        </w:rPr>
        <w:t xml:space="preserve">heart of OC lie </w:t>
      </w:r>
      <w:r w:rsidR="00AD19CC" w:rsidRPr="00F01F5C">
        <w:rPr>
          <w:rFonts w:cs="AdvTT3713a231+20"/>
          <w:color w:val="131413"/>
        </w:rPr>
        <w:t>“</w:t>
      </w:r>
      <w:r w:rsidR="00AD19CC" w:rsidRPr="00F01F5C">
        <w:rPr>
          <w:rFonts w:cs="AdvTT3713a231"/>
          <w:color w:val="131413"/>
        </w:rPr>
        <w:t>certainties</w:t>
      </w:r>
      <w:r w:rsidR="00AD19CC" w:rsidRPr="00F01F5C">
        <w:rPr>
          <w:rFonts w:cs="AdvTT3713a231+20"/>
          <w:color w:val="131413"/>
        </w:rPr>
        <w:t xml:space="preserve">” </w:t>
      </w:r>
      <w:r w:rsidR="00AD19CC" w:rsidRPr="00F01F5C">
        <w:rPr>
          <w:rFonts w:cs="AdvTT3713a231"/>
          <w:color w:val="131413"/>
        </w:rPr>
        <w:t xml:space="preserve">rather than certainty itself. Nor would </w:t>
      </w:r>
      <w:r w:rsidR="001D6F0C" w:rsidRPr="00F01F5C">
        <w:rPr>
          <w:rFonts w:cs="AdvTT3713a231"/>
          <w:color w:val="131413"/>
        </w:rPr>
        <w:t xml:space="preserve">the appeal to </w:t>
      </w:r>
      <w:r w:rsidR="00AD19CC" w:rsidRPr="00F01F5C">
        <w:rPr>
          <w:rFonts w:cs="AdvTT3713a231+20"/>
          <w:color w:val="131413"/>
        </w:rPr>
        <w:t>“</w:t>
      </w:r>
      <w:r w:rsidR="00AD19CC" w:rsidRPr="00F01F5C">
        <w:rPr>
          <w:rFonts w:cs="AdvTT3713a231"/>
          <w:color w:val="131413"/>
        </w:rPr>
        <w:t>animal certainty</w:t>
      </w:r>
      <w:r w:rsidR="00AD19CC" w:rsidRPr="00F01F5C">
        <w:rPr>
          <w:rFonts w:cs="AdvTT3713a231+20"/>
          <w:color w:val="131413"/>
        </w:rPr>
        <w:t xml:space="preserve">” </w:t>
      </w:r>
      <w:r w:rsidR="00AD19CC" w:rsidRPr="00F01F5C">
        <w:rPr>
          <w:rFonts w:cs="AdvTT3713a231"/>
          <w:color w:val="131413"/>
        </w:rPr>
        <w:t>be a substantially</w:t>
      </w:r>
      <w:r w:rsidRPr="00F01F5C">
        <w:rPr>
          <w:rFonts w:cs="AdvTT3713a231"/>
          <w:color w:val="131413"/>
        </w:rPr>
        <w:t xml:space="preserve"> new and potentially successful </w:t>
      </w:r>
      <w:r w:rsidR="00AD19CC" w:rsidRPr="00F01F5C">
        <w:rPr>
          <w:rFonts w:cs="AdvTT3713a231"/>
          <w:color w:val="131413"/>
        </w:rPr>
        <w:t>anti-skeptical st</w:t>
      </w:r>
      <w:r w:rsidRPr="00F01F5C">
        <w:rPr>
          <w:rFonts w:cs="AdvTT3713a231"/>
          <w:color w:val="131413"/>
        </w:rPr>
        <w:t xml:space="preserve">rategy. After all, Hume himself </w:t>
      </w:r>
      <w:r w:rsidR="00AD19CC" w:rsidRPr="00F01F5C">
        <w:rPr>
          <w:rFonts w:cs="AdvTT3713a231"/>
          <w:color w:val="131413"/>
        </w:rPr>
        <w:t xml:space="preserve">recognized that we act with a certainty that knows no </w:t>
      </w:r>
      <w:r w:rsidR="000041B0" w:rsidRPr="00F01F5C">
        <w:rPr>
          <w:rFonts w:cs="AdvTT3713a231"/>
          <w:color w:val="131413"/>
        </w:rPr>
        <w:t xml:space="preserve">doubt in our everyday lives and </w:t>
      </w:r>
      <w:r w:rsidR="00AD19CC" w:rsidRPr="00F01F5C">
        <w:rPr>
          <w:rFonts w:cs="AdvTT3713a231"/>
          <w:color w:val="131413"/>
        </w:rPr>
        <w:t>that we couldn</w:t>
      </w:r>
      <w:r w:rsidR="00AD19CC" w:rsidRPr="00F01F5C">
        <w:rPr>
          <w:rFonts w:cs="AdvTT3713a231+20"/>
          <w:color w:val="131413"/>
        </w:rPr>
        <w:t>’</w:t>
      </w:r>
      <w:r w:rsidR="00AD19CC" w:rsidRPr="00F01F5C">
        <w:rPr>
          <w:rFonts w:cs="AdvTT3713a231"/>
          <w:color w:val="131413"/>
        </w:rPr>
        <w:t xml:space="preserve">t but act that way. Yet, this would by no means come as a relief </w:t>
      </w:r>
      <w:r w:rsidR="00AD19CC" w:rsidRPr="00F01F5C">
        <w:rPr>
          <w:rFonts w:cs="AdvTT50a2f13e.I"/>
          <w:color w:val="131413"/>
        </w:rPr>
        <w:t>vis-à</w:t>
      </w:r>
      <w:r w:rsidRPr="00F01F5C">
        <w:rPr>
          <w:rFonts w:cs="AdvTT50a2f13e.I"/>
          <w:color w:val="131413"/>
        </w:rPr>
        <w:t xml:space="preserve">-vis </w:t>
      </w:r>
      <w:r w:rsidR="00AD19CC" w:rsidRPr="00F01F5C">
        <w:rPr>
          <w:rFonts w:cs="AdvTT3713a231"/>
          <w:color w:val="131413"/>
        </w:rPr>
        <w:t>skeptical preoccupations. For a skeptic is actually asking for a justification of the</w:t>
      </w:r>
      <w:r w:rsidRPr="00F01F5C">
        <w:rPr>
          <w:rFonts w:cs="AdvTT50a2f13e.I"/>
          <w:color w:val="131413"/>
        </w:rPr>
        <w:t xml:space="preserve"> </w:t>
      </w:r>
      <w:r w:rsidR="00AD19CC" w:rsidRPr="00F01F5C">
        <w:rPr>
          <w:rFonts w:cs="AdvTT50a2f13e.I"/>
          <w:color w:val="131413"/>
        </w:rPr>
        <w:t>propositions</w:t>
      </w:r>
      <w:r w:rsidR="00AD19CC" w:rsidRPr="00F01F5C">
        <w:rPr>
          <w:rFonts w:cs="AdvTT3713a231"/>
          <w:color w:val="131413"/>
        </w:rPr>
        <w:t>, which are the contents of our most deep-seated beliefs and this is what</w:t>
      </w:r>
      <w:r w:rsidRPr="00F01F5C">
        <w:rPr>
          <w:rFonts w:cs="AdvTT50a2f13e.I"/>
          <w:color w:val="131413"/>
        </w:rPr>
        <w:t xml:space="preserve"> </w:t>
      </w:r>
      <w:r w:rsidR="00AD19CC" w:rsidRPr="00F01F5C">
        <w:rPr>
          <w:rFonts w:cs="AdvTT3713a231"/>
          <w:color w:val="131413"/>
        </w:rPr>
        <w:t>animal certainty</w:t>
      </w:r>
      <w:r w:rsidR="00AD19CC" w:rsidRPr="00F01F5C">
        <w:rPr>
          <w:rFonts w:cs="AdvTT3713a231+20"/>
          <w:color w:val="131413"/>
        </w:rPr>
        <w:t xml:space="preserve"> </w:t>
      </w:r>
      <w:r w:rsidR="00AD19CC" w:rsidRPr="00F01F5C">
        <w:rPr>
          <w:rFonts w:cs="AdvTT3713a231"/>
          <w:color w:val="131413"/>
        </w:rPr>
        <w:t>wouldn</w:t>
      </w:r>
      <w:r w:rsidR="00AD19CC" w:rsidRPr="00F01F5C">
        <w:rPr>
          <w:rFonts w:cs="AdvTT3713a231+20"/>
          <w:color w:val="131413"/>
        </w:rPr>
        <w:t>’</w:t>
      </w:r>
      <w:r w:rsidR="00AD19CC" w:rsidRPr="00F01F5C">
        <w:rPr>
          <w:rFonts w:cs="AdvTT3713a231"/>
          <w:color w:val="131413"/>
        </w:rPr>
        <w:t xml:space="preserve">t deliver, </w:t>
      </w:r>
      <w:r w:rsidR="00AD19CC" w:rsidRPr="00F01F5C">
        <w:rPr>
          <w:rFonts w:cs="AdvTT3713a231"/>
          <w:color w:val="131413"/>
        </w:rPr>
        <w:lastRenderedPageBreak/>
        <w:t>precisely because it would ultimately reduce</w:t>
      </w:r>
      <w:r w:rsidRPr="00F01F5C">
        <w:rPr>
          <w:rFonts w:cs="AdvTT50a2f13e.I"/>
          <w:color w:val="131413"/>
        </w:rPr>
        <w:t xml:space="preserve"> </w:t>
      </w:r>
      <w:r w:rsidR="00AD19CC" w:rsidRPr="00F01F5C">
        <w:rPr>
          <w:rFonts w:cs="AdvTT3713a231"/>
          <w:color w:val="131413"/>
        </w:rPr>
        <w:t>them to mere ways of acting. Rather, by a skeptic</w:t>
      </w:r>
      <w:r w:rsidR="00AD19CC" w:rsidRPr="00F01F5C">
        <w:rPr>
          <w:rFonts w:cs="AdvTT3713a231+20"/>
          <w:color w:val="131413"/>
        </w:rPr>
        <w:t>’</w:t>
      </w:r>
      <w:r w:rsidR="00AD19CC" w:rsidRPr="00F01F5C">
        <w:rPr>
          <w:rFonts w:cs="AdvTT3713a231"/>
          <w:color w:val="131413"/>
        </w:rPr>
        <w:t>s lights, animal certainty</w:t>
      </w:r>
      <w:r w:rsidR="00AD19CC" w:rsidRPr="00F01F5C">
        <w:rPr>
          <w:rFonts w:cs="AdvTT3713a231+20"/>
          <w:color w:val="131413"/>
        </w:rPr>
        <w:t xml:space="preserve"> </w:t>
      </w:r>
      <w:r w:rsidR="00AD19CC" w:rsidRPr="00F01F5C">
        <w:rPr>
          <w:rFonts w:cs="AdvTT3713a231"/>
          <w:color w:val="131413"/>
        </w:rPr>
        <w:t>is what</w:t>
      </w:r>
      <w:r w:rsidRPr="00F01F5C">
        <w:rPr>
          <w:rFonts w:cs="AdvTT50a2f13e.I"/>
          <w:color w:val="131413"/>
        </w:rPr>
        <w:t xml:space="preserve"> </w:t>
      </w:r>
      <w:r w:rsidR="00AD19CC" w:rsidRPr="00F01F5C">
        <w:rPr>
          <w:rFonts w:cs="AdvTT3713a231"/>
          <w:color w:val="131413"/>
        </w:rPr>
        <w:t>we have to be content with, once we realize, with him, that no justification for them is</w:t>
      </w:r>
      <w:r w:rsidRPr="00F01F5C">
        <w:rPr>
          <w:rFonts w:cs="AdvTT50a2f13e.I"/>
          <w:color w:val="131413"/>
        </w:rPr>
        <w:t xml:space="preserve"> </w:t>
      </w:r>
      <w:r w:rsidR="00B42F3F" w:rsidRPr="00F01F5C">
        <w:rPr>
          <w:rFonts w:cs="AdvTT3713a231"/>
          <w:color w:val="131413"/>
        </w:rPr>
        <w:t>attainable.</w:t>
      </w:r>
    </w:p>
    <w:p w:rsidR="001B0925" w:rsidRPr="00F01F5C" w:rsidRDefault="006301D0" w:rsidP="004C6263">
      <w:pPr>
        <w:autoSpaceDE w:val="0"/>
        <w:autoSpaceDN w:val="0"/>
        <w:adjustRightInd w:val="0"/>
        <w:spacing w:after="0" w:line="480" w:lineRule="auto"/>
        <w:ind w:firstLine="720"/>
        <w:jc w:val="both"/>
        <w:rPr>
          <w:rFonts w:cs="AdvTT3713a231"/>
          <w:color w:val="131413"/>
        </w:rPr>
      </w:pPr>
      <w:r w:rsidRPr="00F01F5C">
        <w:rPr>
          <w:rFonts w:cs="AdvTT3713a231"/>
          <w:color w:val="131413"/>
        </w:rPr>
        <w:t>Thus</w:t>
      </w:r>
      <w:r w:rsidR="00AD19CC" w:rsidRPr="00F01F5C">
        <w:rPr>
          <w:rFonts w:cs="AdvTT3713a231"/>
          <w:color w:val="131413"/>
        </w:rPr>
        <w:t xml:space="preserve">, a proper anti-skeptical strategy </w:t>
      </w:r>
      <w:proofErr w:type="gramStart"/>
      <w:r w:rsidR="00AD19CC" w:rsidRPr="00F01F5C">
        <w:rPr>
          <w:rFonts w:cs="AdvTT3713a231"/>
          <w:color w:val="131413"/>
        </w:rPr>
        <w:t>has to</w:t>
      </w:r>
      <w:proofErr w:type="gramEnd"/>
      <w:r w:rsidR="00AD19CC" w:rsidRPr="00F01F5C">
        <w:rPr>
          <w:rFonts w:cs="AdvTT3713a231"/>
          <w:color w:val="131413"/>
        </w:rPr>
        <w:t xml:space="preserve"> confront the challenge of</w:t>
      </w:r>
      <w:r w:rsidR="0054280F" w:rsidRPr="00F01F5C">
        <w:rPr>
          <w:rFonts w:cs="AdvTT50a2f13e.I"/>
          <w:color w:val="131413"/>
        </w:rPr>
        <w:t xml:space="preserve"> </w:t>
      </w:r>
      <w:r w:rsidR="00AD19CC" w:rsidRPr="00F01F5C">
        <w:rPr>
          <w:rFonts w:cs="AdvTT3713a231"/>
          <w:color w:val="131413"/>
        </w:rPr>
        <w:t xml:space="preserve">showing either that these </w:t>
      </w:r>
      <w:r w:rsidR="00AD19CC" w:rsidRPr="00F01F5C">
        <w:rPr>
          <w:rFonts w:cs="AdvTT50a2f13e.I"/>
          <w:color w:val="131413"/>
        </w:rPr>
        <w:t xml:space="preserve">propositions </w:t>
      </w:r>
      <w:r w:rsidR="00AD19CC" w:rsidRPr="00F01F5C">
        <w:rPr>
          <w:rFonts w:cs="AdvTT3713a231"/>
          <w:color w:val="131413"/>
        </w:rPr>
        <w:t>are after all justified, or else that, even if they</w:t>
      </w:r>
      <w:r w:rsidR="0054280F" w:rsidRPr="00F01F5C">
        <w:rPr>
          <w:rFonts w:cs="AdvTT50a2f13e.I"/>
          <w:color w:val="131413"/>
        </w:rPr>
        <w:t xml:space="preserve"> </w:t>
      </w:r>
      <w:r w:rsidR="00AD19CC" w:rsidRPr="00F01F5C">
        <w:rPr>
          <w:rFonts w:cs="AdvTT3713a231"/>
          <w:color w:val="131413"/>
        </w:rPr>
        <w:t>aren</w:t>
      </w:r>
      <w:r w:rsidR="00AD19CC" w:rsidRPr="00F01F5C">
        <w:rPr>
          <w:rFonts w:cs="AdvTT3713a231+20"/>
          <w:color w:val="131413"/>
        </w:rPr>
        <w:t>’</w:t>
      </w:r>
      <w:r w:rsidR="00AD19CC" w:rsidRPr="00F01F5C">
        <w:rPr>
          <w:rFonts w:cs="AdvTT3713a231"/>
          <w:color w:val="131413"/>
        </w:rPr>
        <w:t>t, they aren</w:t>
      </w:r>
      <w:r w:rsidR="00AD19CC" w:rsidRPr="00F01F5C">
        <w:rPr>
          <w:rFonts w:cs="AdvTT3713a231+20"/>
          <w:color w:val="131413"/>
        </w:rPr>
        <w:t>’</w:t>
      </w:r>
      <w:r w:rsidR="00AD19CC" w:rsidRPr="00F01F5C">
        <w:rPr>
          <w:rFonts w:cs="AdvTT3713a231"/>
          <w:color w:val="131413"/>
        </w:rPr>
        <w:t>t merely arbitrary assumptions. We will briefly look at OC</w:t>
      </w:r>
      <w:r w:rsidR="00AD19CC" w:rsidRPr="00F01F5C">
        <w:rPr>
          <w:rFonts w:cs="AdvTT3713a231+20"/>
          <w:color w:val="131413"/>
        </w:rPr>
        <w:t>’</w:t>
      </w:r>
      <w:r w:rsidR="00AD19CC" w:rsidRPr="00F01F5C">
        <w:rPr>
          <w:rFonts w:cs="AdvTT3713a231"/>
          <w:color w:val="131413"/>
        </w:rPr>
        <w:t>s anti</w:t>
      </w:r>
      <w:r w:rsidRPr="00F01F5C">
        <w:rPr>
          <w:rFonts w:cs="AdvTT3713a231"/>
          <w:color w:val="131413"/>
        </w:rPr>
        <w:t>-</w:t>
      </w:r>
      <w:r w:rsidR="00AD19CC" w:rsidRPr="00F01F5C">
        <w:rPr>
          <w:rFonts w:cs="AdvTT3713a231"/>
          <w:color w:val="131413"/>
        </w:rPr>
        <w:t>skeptical</w:t>
      </w:r>
      <w:r w:rsidR="0054280F" w:rsidRPr="00F01F5C">
        <w:rPr>
          <w:rFonts w:cs="AdvTT50a2f13e.I"/>
          <w:color w:val="131413"/>
        </w:rPr>
        <w:t xml:space="preserve"> </w:t>
      </w:r>
      <w:r w:rsidR="00AD19CC" w:rsidRPr="00F01F5C">
        <w:rPr>
          <w:rFonts w:cs="AdvTT3713a231"/>
          <w:color w:val="131413"/>
        </w:rPr>
        <w:t>import in a moment. For now, let me dwell a bit more on what I take OC</w:t>
      </w:r>
      <w:r w:rsidR="00AD19CC" w:rsidRPr="00F01F5C">
        <w:rPr>
          <w:rFonts w:cs="AdvTT3713a231+20"/>
          <w:color w:val="131413"/>
        </w:rPr>
        <w:t>’</w:t>
      </w:r>
      <w:r w:rsidR="00AD19CC" w:rsidRPr="00F01F5C">
        <w:rPr>
          <w:rFonts w:cs="AdvTT3713a231"/>
          <w:color w:val="131413"/>
        </w:rPr>
        <w:t>s</w:t>
      </w:r>
      <w:r w:rsidR="000041B0" w:rsidRPr="00F01F5C">
        <w:rPr>
          <w:rFonts w:cs="AdvTT3713a231"/>
          <w:color w:val="131413"/>
        </w:rPr>
        <w:t xml:space="preserve"> </w:t>
      </w:r>
      <w:r w:rsidR="00AD19CC" w:rsidRPr="00F01F5C">
        <w:rPr>
          <w:rFonts w:cs="AdvTT3713a231"/>
          <w:color w:val="131413"/>
        </w:rPr>
        <w:t>message about certainty to be.</w:t>
      </w:r>
    </w:p>
    <w:p w:rsidR="00AD19CC" w:rsidRPr="00F01F5C" w:rsidRDefault="00AD19CC" w:rsidP="004C6263">
      <w:pPr>
        <w:autoSpaceDE w:val="0"/>
        <w:autoSpaceDN w:val="0"/>
        <w:adjustRightInd w:val="0"/>
        <w:spacing w:after="0" w:line="480" w:lineRule="auto"/>
        <w:ind w:firstLine="720"/>
        <w:jc w:val="both"/>
        <w:rPr>
          <w:rFonts w:cs="AdvTT3713a231"/>
          <w:color w:val="131413"/>
        </w:rPr>
      </w:pPr>
      <w:r w:rsidRPr="00F01F5C">
        <w:rPr>
          <w:rFonts w:cs="AdvTT3713a231"/>
          <w:color w:val="131413"/>
        </w:rPr>
        <w:t>As a matter of fact, certainty in OC comes down t</w:t>
      </w:r>
      <w:r w:rsidR="0054280F" w:rsidRPr="00F01F5C">
        <w:rPr>
          <w:rFonts w:cs="AdvTT3713a231"/>
          <w:color w:val="131413"/>
        </w:rPr>
        <w:t xml:space="preserve">o a propositional and therefore </w:t>
      </w:r>
      <w:r w:rsidRPr="00F01F5C">
        <w:rPr>
          <w:rFonts w:cs="AdvTT3713a231"/>
          <w:color w:val="131413"/>
        </w:rPr>
        <w:t xml:space="preserve">conceptual attitude of </w:t>
      </w:r>
      <w:r w:rsidRPr="00F01F5C">
        <w:rPr>
          <w:rFonts w:cs="AdvTT50a2f13e.I"/>
          <w:color w:val="131413"/>
        </w:rPr>
        <w:t>acceptance</w:t>
      </w:r>
      <w:r w:rsidRPr="00F01F5C">
        <w:rPr>
          <w:rFonts w:cs="AdvTT3713a231"/>
          <w:color w:val="131413"/>
        </w:rPr>
        <w:t xml:space="preserve">, which displays itself </w:t>
      </w:r>
      <w:r w:rsidRPr="00F01F5C">
        <w:rPr>
          <w:rFonts w:cs="AdvTT50a2f13e.I"/>
          <w:color w:val="131413"/>
        </w:rPr>
        <w:t xml:space="preserve">mostly </w:t>
      </w:r>
      <w:r w:rsidR="0054280F" w:rsidRPr="00F01F5C">
        <w:rPr>
          <w:rFonts w:cs="AdvTT3713a231"/>
          <w:color w:val="131413"/>
        </w:rPr>
        <w:t xml:space="preserve">in action but that </w:t>
      </w:r>
      <w:r w:rsidRPr="00F01F5C">
        <w:rPr>
          <w:rFonts w:cs="AdvTT3713a231"/>
          <w:color w:val="131413"/>
        </w:rPr>
        <w:t>doesn</w:t>
      </w:r>
      <w:r w:rsidRPr="00F01F5C">
        <w:rPr>
          <w:rFonts w:cs="AdvTT3713a231+20"/>
          <w:color w:val="131413"/>
        </w:rPr>
        <w:t>’</w:t>
      </w:r>
      <w:r w:rsidRPr="00F01F5C">
        <w:rPr>
          <w:rFonts w:cs="AdvTT3713a231"/>
          <w:color w:val="131413"/>
        </w:rPr>
        <w:t xml:space="preserve">t show itself </w:t>
      </w:r>
      <w:r w:rsidRPr="00F01F5C">
        <w:rPr>
          <w:rFonts w:cs="AdvTT50a2f13e.I"/>
          <w:color w:val="131413"/>
        </w:rPr>
        <w:t xml:space="preserve">only </w:t>
      </w:r>
      <w:r w:rsidRPr="00F01F5C">
        <w:rPr>
          <w:rFonts w:cs="AdvTT3713a231"/>
          <w:color w:val="131413"/>
        </w:rPr>
        <w:t>in action. Furthermore, it requ</w:t>
      </w:r>
      <w:r w:rsidR="0054280F" w:rsidRPr="00F01F5C">
        <w:rPr>
          <w:rFonts w:cs="AdvTT3713a231"/>
          <w:color w:val="131413"/>
        </w:rPr>
        <w:t xml:space="preserve">ires some conceptual repertoire </w:t>
      </w:r>
      <w:r w:rsidRPr="00F01F5C">
        <w:rPr>
          <w:rFonts w:cs="AdvTT3713a231"/>
          <w:color w:val="131413"/>
        </w:rPr>
        <w:t>on a subject</w:t>
      </w:r>
      <w:r w:rsidRPr="00F01F5C">
        <w:rPr>
          <w:rFonts w:cs="AdvTT3713a231+20"/>
          <w:color w:val="131413"/>
        </w:rPr>
        <w:t>’</w:t>
      </w:r>
      <w:r w:rsidRPr="00F01F5C">
        <w:rPr>
          <w:rFonts w:cs="AdvTT3713a231"/>
          <w:color w:val="131413"/>
        </w:rPr>
        <w:t xml:space="preserve">s part, </w:t>
      </w:r>
      <w:r w:rsidR="006301D0" w:rsidRPr="00F01F5C">
        <w:rPr>
          <w:rFonts w:cs="AdvTT3713a231"/>
          <w:color w:val="131413"/>
        </w:rPr>
        <w:t>to</w:t>
      </w:r>
      <w:r w:rsidRPr="00F01F5C">
        <w:rPr>
          <w:rFonts w:cs="AdvTT3713a231"/>
          <w:color w:val="131413"/>
        </w:rPr>
        <w:t xml:space="preserve"> enable her to entertain,</w:t>
      </w:r>
      <w:r w:rsidR="0054280F" w:rsidRPr="00F01F5C">
        <w:rPr>
          <w:rFonts w:cs="AdvTT3713a231"/>
          <w:color w:val="131413"/>
        </w:rPr>
        <w:t xml:space="preserve"> if necessary, its contents. In </w:t>
      </w:r>
      <w:r w:rsidRPr="00F01F5C">
        <w:rPr>
          <w:rFonts w:cs="AdvTT3713a231"/>
          <w:color w:val="131413"/>
        </w:rPr>
        <w:t>particular, acceptance is a genus that comes in two sp</w:t>
      </w:r>
      <w:r w:rsidR="0054280F" w:rsidRPr="00F01F5C">
        <w:rPr>
          <w:rFonts w:cs="AdvTT3713a231"/>
          <w:color w:val="131413"/>
        </w:rPr>
        <w:t xml:space="preserve">ecies. One, which we could call </w:t>
      </w:r>
      <w:r w:rsidRPr="00F01F5C">
        <w:rPr>
          <w:rFonts w:cs="AdvTT3713a231+20"/>
          <w:color w:val="131413"/>
        </w:rPr>
        <w:t>“</w:t>
      </w:r>
      <w:r w:rsidRPr="00F01F5C">
        <w:rPr>
          <w:rFonts w:cs="AdvTT3713a231"/>
          <w:color w:val="131413"/>
        </w:rPr>
        <w:t>epistemic acceptance</w:t>
      </w:r>
      <w:r w:rsidRPr="00F01F5C">
        <w:rPr>
          <w:rFonts w:cs="AdvTT3713a231+20"/>
          <w:color w:val="131413"/>
        </w:rPr>
        <w:t>”</w:t>
      </w:r>
      <w:r w:rsidRPr="00F01F5C">
        <w:rPr>
          <w:rFonts w:cs="AdvTT3713a231"/>
          <w:color w:val="131413"/>
        </w:rPr>
        <w:t>,</w:t>
      </w:r>
      <w:r w:rsidR="0054280F" w:rsidRPr="00F01F5C">
        <w:rPr>
          <w:rFonts w:cs="AdvTT3713a231"/>
          <w:color w:val="131413"/>
        </w:rPr>
        <w:t xml:space="preserve"> </w:t>
      </w:r>
      <w:r w:rsidRPr="00F01F5C">
        <w:rPr>
          <w:rFonts w:cs="AdvTT3713a231"/>
          <w:color w:val="131413"/>
        </w:rPr>
        <w:t>has as contents empirica</w:t>
      </w:r>
      <w:r w:rsidR="0054280F" w:rsidRPr="00F01F5C">
        <w:rPr>
          <w:rFonts w:cs="AdvTT3713a231"/>
          <w:color w:val="131413"/>
        </w:rPr>
        <w:t xml:space="preserve">l propositions and differs from </w:t>
      </w:r>
      <w:r w:rsidRPr="00F01F5C">
        <w:rPr>
          <w:rFonts w:cs="AdvTT3713a231"/>
          <w:color w:val="131413"/>
        </w:rPr>
        <w:t>belief because these empirical propositions are held</w:t>
      </w:r>
      <w:r w:rsidR="0054280F" w:rsidRPr="00F01F5C">
        <w:rPr>
          <w:rFonts w:cs="AdvTT3713a231"/>
          <w:color w:val="131413"/>
        </w:rPr>
        <w:t xml:space="preserve"> with no warrant. For instance, </w:t>
      </w:r>
      <w:r w:rsidRPr="00F01F5C">
        <w:rPr>
          <w:rFonts w:cs="AdvTT3713a231"/>
          <w:color w:val="131413"/>
        </w:rPr>
        <w:t>one could assume that the butler is the cul</w:t>
      </w:r>
      <w:r w:rsidR="0054280F" w:rsidRPr="00F01F5C">
        <w:rPr>
          <w:rFonts w:cs="AdvTT3713a231"/>
          <w:color w:val="131413"/>
        </w:rPr>
        <w:t xml:space="preserve">prit, having no evidence for it </w:t>
      </w:r>
      <w:r w:rsidRPr="00F01F5C">
        <w:rPr>
          <w:rFonts w:cs="AdvTT3713a231"/>
          <w:color w:val="131413"/>
        </w:rPr>
        <w:t xml:space="preserve">(whether or not one will eventually be able to collect </w:t>
      </w:r>
      <w:r w:rsidR="0054280F" w:rsidRPr="00F01F5C">
        <w:rPr>
          <w:rFonts w:cs="AdvTT3713a231"/>
          <w:color w:val="131413"/>
        </w:rPr>
        <w:t xml:space="preserve">that evidence). Another species </w:t>
      </w:r>
      <w:r w:rsidRPr="00F01F5C">
        <w:rPr>
          <w:rFonts w:cs="AdvTT3713a231"/>
          <w:color w:val="131413"/>
        </w:rPr>
        <w:t xml:space="preserve">of acceptance is what we might call </w:t>
      </w:r>
      <w:r w:rsidRPr="00F01F5C">
        <w:rPr>
          <w:rFonts w:cs="AdvTT3713a231+20"/>
          <w:color w:val="131413"/>
        </w:rPr>
        <w:t>“</w:t>
      </w:r>
      <w:r w:rsidRPr="00F01F5C">
        <w:rPr>
          <w:rFonts w:cs="AdvTT3713a231"/>
          <w:color w:val="131413"/>
        </w:rPr>
        <w:t>pragmatic acceptance</w:t>
      </w:r>
      <w:r w:rsidRPr="00F01F5C">
        <w:rPr>
          <w:rFonts w:cs="AdvTT3713a231+20"/>
          <w:color w:val="131413"/>
        </w:rPr>
        <w:t xml:space="preserve">” </w:t>
      </w:r>
      <w:r w:rsidR="0054280F" w:rsidRPr="00F01F5C">
        <w:rPr>
          <w:rFonts w:cs="AdvTT3713a231"/>
          <w:color w:val="131413"/>
        </w:rPr>
        <w:t xml:space="preserve">and has norms as </w:t>
      </w:r>
      <w:r w:rsidRPr="00F01F5C">
        <w:rPr>
          <w:rFonts w:cs="AdvTT3713a231"/>
          <w:color w:val="131413"/>
        </w:rPr>
        <w:t>content. For instance, most people accept to stop at</w:t>
      </w:r>
      <w:r w:rsidR="0054280F" w:rsidRPr="00F01F5C">
        <w:rPr>
          <w:rFonts w:cs="AdvTT3713a231"/>
          <w:color w:val="131413"/>
        </w:rPr>
        <w:t xml:space="preserve"> traffic lights when red; or to </w:t>
      </w:r>
      <w:r w:rsidRPr="00F01F5C">
        <w:rPr>
          <w:rFonts w:cs="AdvTT3713a231"/>
          <w:color w:val="131413"/>
        </w:rPr>
        <w:t xml:space="preserve">say </w:t>
      </w:r>
      <w:r w:rsidRPr="00F01F5C">
        <w:rPr>
          <w:rFonts w:cs="AdvTT3713a231+20"/>
          <w:color w:val="131413"/>
        </w:rPr>
        <w:t>“</w:t>
      </w:r>
      <w:r w:rsidRPr="00F01F5C">
        <w:rPr>
          <w:rFonts w:cs="AdvTT3713a231"/>
          <w:color w:val="131413"/>
        </w:rPr>
        <w:t>sorry</w:t>
      </w:r>
      <w:r w:rsidRPr="00F01F5C">
        <w:rPr>
          <w:rFonts w:cs="AdvTT3713a231+20"/>
          <w:color w:val="131413"/>
        </w:rPr>
        <w:t xml:space="preserve">” </w:t>
      </w:r>
      <w:r w:rsidRPr="00F01F5C">
        <w:rPr>
          <w:rFonts w:cs="AdvTT3713a231"/>
          <w:color w:val="131413"/>
        </w:rPr>
        <w:t>when they step onto someone else</w:t>
      </w:r>
      <w:r w:rsidRPr="00F01F5C">
        <w:rPr>
          <w:rFonts w:cs="AdvTT3713a231+20"/>
          <w:color w:val="131413"/>
        </w:rPr>
        <w:t>’</w:t>
      </w:r>
      <w:r w:rsidRPr="00F01F5C">
        <w:rPr>
          <w:rFonts w:cs="AdvTT3713a231"/>
          <w:color w:val="131413"/>
        </w:rPr>
        <w:t xml:space="preserve">s foot on </w:t>
      </w:r>
      <w:r w:rsidR="0054280F" w:rsidRPr="00F01F5C">
        <w:rPr>
          <w:rFonts w:cs="AdvTT3713a231"/>
          <w:color w:val="131413"/>
        </w:rPr>
        <w:t xml:space="preserve">the street. These are all norms </w:t>
      </w:r>
      <w:r w:rsidRPr="00F01F5C">
        <w:rPr>
          <w:rFonts w:cs="AdvTT3713a231"/>
          <w:color w:val="131413"/>
        </w:rPr>
        <w:t>and their acceptance is most often tacit (or even impli</w:t>
      </w:r>
      <w:r w:rsidR="0054280F" w:rsidRPr="00F01F5C">
        <w:rPr>
          <w:rFonts w:cs="AdvTT3713a231"/>
          <w:color w:val="131413"/>
        </w:rPr>
        <w:t xml:space="preserve">cit) and shown in behavior that </w:t>
      </w:r>
      <w:r w:rsidRPr="00F01F5C">
        <w:rPr>
          <w:rFonts w:cs="AdvTT3713a231"/>
          <w:color w:val="131413"/>
        </w:rPr>
        <w:t xml:space="preserve">conforms to the norm. Yet, in a </w:t>
      </w:r>
      <w:proofErr w:type="spellStart"/>
      <w:r w:rsidRPr="00F01F5C">
        <w:rPr>
          <w:rFonts w:cs="AdvTT3713a231"/>
          <w:color w:val="131413"/>
        </w:rPr>
        <w:t>Wittgenstein</w:t>
      </w:r>
      <w:r w:rsidR="0054280F" w:rsidRPr="00F01F5C">
        <w:rPr>
          <w:rFonts w:cs="AdvTT3713a231"/>
          <w:color w:val="131413"/>
        </w:rPr>
        <w:t>ian</w:t>
      </w:r>
      <w:proofErr w:type="spellEnd"/>
      <w:r w:rsidR="0054280F" w:rsidRPr="00F01F5C">
        <w:rPr>
          <w:rFonts w:cs="AdvTT3713a231"/>
          <w:color w:val="131413"/>
        </w:rPr>
        <w:t xml:space="preserve"> perspective, it can only be </w:t>
      </w:r>
      <w:r w:rsidRPr="00F01F5C">
        <w:rPr>
          <w:rFonts w:cs="AdvTT3713a231"/>
          <w:color w:val="131413"/>
        </w:rPr>
        <w:t>attributed to creatures who can somehow grasp its content. For it doesn</w:t>
      </w:r>
      <w:r w:rsidRPr="00F01F5C">
        <w:rPr>
          <w:rFonts w:cs="AdvTT3713a231+20"/>
          <w:color w:val="131413"/>
        </w:rPr>
        <w:t>’</w:t>
      </w:r>
      <w:r w:rsidR="0054280F" w:rsidRPr="00F01F5C">
        <w:rPr>
          <w:rFonts w:cs="AdvTT3713a231"/>
          <w:color w:val="131413"/>
        </w:rPr>
        <w:t xml:space="preserve">t make sense </w:t>
      </w:r>
      <w:r w:rsidRPr="00F01F5C">
        <w:rPr>
          <w:rFonts w:cs="AdvTT3713a231"/>
          <w:color w:val="131413"/>
        </w:rPr>
        <w:t xml:space="preserve">to say that a 1-year old child, say, accepts to stop at a traffic light </w:t>
      </w:r>
      <w:r w:rsidRPr="00F01F5C">
        <w:rPr>
          <w:rFonts w:cs="AdvTT3713a231+20"/>
          <w:color w:val="131413"/>
        </w:rPr>
        <w:t xml:space="preserve">– </w:t>
      </w:r>
      <w:r w:rsidR="0054280F" w:rsidRPr="00F01F5C">
        <w:rPr>
          <w:rFonts w:cs="AdvTT3713a231"/>
          <w:color w:val="131413"/>
        </w:rPr>
        <w:t xml:space="preserve">viz. that she accepts </w:t>
      </w:r>
      <w:r w:rsidRPr="00F01F5C">
        <w:rPr>
          <w:rFonts w:cs="AdvTT3713a231"/>
          <w:color w:val="131413"/>
        </w:rPr>
        <w:t xml:space="preserve">that norm </w:t>
      </w:r>
      <w:r w:rsidRPr="00F01F5C">
        <w:rPr>
          <w:rFonts w:cs="AdvTT3713a231+20"/>
          <w:color w:val="131413"/>
        </w:rPr>
        <w:t xml:space="preserve">– </w:t>
      </w:r>
      <w:r w:rsidRPr="00F01F5C">
        <w:rPr>
          <w:rFonts w:cs="AdvTT3713a231"/>
          <w:color w:val="131413"/>
        </w:rPr>
        <w:t>if she has no idea of what a traffic light is, of what its being red means, etc</w:t>
      </w:r>
      <w:r w:rsidR="0054280F" w:rsidRPr="00F01F5C">
        <w:rPr>
          <w:rFonts w:cs="AdvTT3713a231"/>
          <w:color w:val="131413"/>
        </w:rPr>
        <w:t xml:space="preserve">. </w:t>
      </w:r>
      <w:r w:rsidR="00560F21" w:rsidRPr="00F01F5C">
        <w:rPr>
          <w:rFonts w:cs="AdvTT3713a231"/>
          <w:color w:val="131413"/>
        </w:rPr>
        <w:t>Thus</w:t>
      </w:r>
      <w:r w:rsidRPr="00F01F5C">
        <w:rPr>
          <w:rFonts w:cs="AdvTT3713a231"/>
          <w:color w:val="131413"/>
        </w:rPr>
        <w:t>, even if, as a matter of coincidence, she did stop at a red traffic light, that couldn</w:t>
      </w:r>
      <w:r w:rsidRPr="00F01F5C">
        <w:rPr>
          <w:rFonts w:cs="AdvTT3713a231+20"/>
          <w:color w:val="131413"/>
        </w:rPr>
        <w:t>’</w:t>
      </w:r>
      <w:r w:rsidR="0054280F" w:rsidRPr="00F01F5C">
        <w:rPr>
          <w:rFonts w:cs="AdvTT3713a231"/>
          <w:color w:val="131413"/>
        </w:rPr>
        <w:t xml:space="preserve">t be </w:t>
      </w:r>
      <w:r w:rsidRPr="00F01F5C">
        <w:rPr>
          <w:rFonts w:cs="AdvTT3713a231"/>
          <w:color w:val="131413"/>
        </w:rPr>
        <w:t>taken as a sign of a tacit (or implicit) acceptance of the norm. Now, pointing out that we</w:t>
      </w:r>
      <w:r w:rsidR="0054280F" w:rsidRPr="00F01F5C">
        <w:rPr>
          <w:rFonts w:cs="AdvTT3713a231"/>
          <w:color w:val="131413"/>
        </w:rPr>
        <w:t xml:space="preserve"> </w:t>
      </w:r>
      <w:r w:rsidRPr="00F01F5C">
        <w:rPr>
          <w:rFonts w:cs="AdvTT3713a231"/>
          <w:color w:val="131413"/>
        </w:rPr>
        <w:t xml:space="preserve">have been trained to act that way would show the </w:t>
      </w:r>
      <w:r w:rsidRPr="00F01F5C">
        <w:rPr>
          <w:rFonts w:cs="AdvTT50a2f13e.I"/>
          <w:color w:val="131413"/>
        </w:rPr>
        <w:t xml:space="preserve">genealogy </w:t>
      </w:r>
      <w:r w:rsidR="0054280F" w:rsidRPr="00F01F5C">
        <w:rPr>
          <w:rFonts w:cs="AdvTT3713a231"/>
          <w:color w:val="131413"/>
        </w:rPr>
        <w:t xml:space="preserve">(or the etiology) of both </w:t>
      </w:r>
      <w:r w:rsidRPr="00F01F5C">
        <w:rPr>
          <w:rFonts w:cs="AdvTT3713a231"/>
          <w:color w:val="131413"/>
        </w:rPr>
        <w:t xml:space="preserve">our eventual acceptance and of the fact that we would </w:t>
      </w:r>
      <w:r w:rsidR="0054280F" w:rsidRPr="00F01F5C">
        <w:rPr>
          <w:rFonts w:cs="AdvTT3713a231"/>
          <w:color w:val="131413"/>
        </w:rPr>
        <w:t xml:space="preserve">recognize its content as a norm </w:t>
      </w:r>
      <w:r w:rsidRPr="00F01F5C">
        <w:rPr>
          <w:rFonts w:cs="AdvTT3713a231"/>
          <w:color w:val="131413"/>
        </w:rPr>
        <w:t xml:space="preserve">(or, </w:t>
      </w:r>
      <w:r w:rsidRPr="00F01F5C">
        <w:rPr>
          <w:rFonts w:cs="AdvTT50a2f13e.I"/>
          <w:i/>
          <w:color w:val="131413"/>
        </w:rPr>
        <w:t>mutatis mutandis</w:t>
      </w:r>
      <w:r w:rsidRPr="00F01F5C">
        <w:rPr>
          <w:rFonts w:cs="AdvTT3713a231"/>
          <w:color w:val="131413"/>
        </w:rPr>
        <w:t>, as a hinge). But it wouldn</w:t>
      </w:r>
      <w:r w:rsidRPr="00F01F5C">
        <w:rPr>
          <w:rFonts w:cs="AdvTT3713a231+20"/>
          <w:color w:val="131413"/>
        </w:rPr>
        <w:t>’</w:t>
      </w:r>
      <w:r w:rsidRPr="00F01F5C">
        <w:rPr>
          <w:rFonts w:cs="AdvTT3713a231"/>
          <w:color w:val="131413"/>
        </w:rPr>
        <w:t>t be en</w:t>
      </w:r>
      <w:r w:rsidR="0054280F" w:rsidRPr="00F01F5C">
        <w:rPr>
          <w:rFonts w:cs="AdvTT3713a231"/>
          <w:color w:val="131413"/>
        </w:rPr>
        <w:t xml:space="preserve">ough either to turn the kind of </w:t>
      </w:r>
      <w:r w:rsidRPr="00F01F5C">
        <w:rPr>
          <w:rFonts w:cs="AdvTT3713a231"/>
          <w:color w:val="131413"/>
        </w:rPr>
        <w:t xml:space="preserve">certainty Wittgenstein is mostly concerned with in OC into merely </w:t>
      </w:r>
      <w:r w:rsidRPr="00F01F5C">
        <w:rPr>
          <w:rFonts w:cs="AdvTT3713a231+20"/>
          <w:color w:val="131413"/>
        </w:rPr>
        <w:t>“</w:t>
      </w:r>
      <w:r w:rsidRPr="00F01F5C">
        <w:rPr>
          <w:rFonts w:cs="AdvTT3713a231"/>
          <w:color w:val="131413"/>
        </w:rPr>
        <w:t>animal</w:t>
      </w:r>
      <w:r w:rsidRPr="00F01F5C">
        <w:rPr>
          <w:rFonts w:cs="AdvTT3713a231+20"/>
          <w:color w:val="131413"/>
        </w:rPr>
        <w:t xml:space="preserve">” </w:t>
      </w:r>
      <w:r w:rsidR="0054280F" w:rsidRPr="00F01F5C">
        <w:rPr>
          <w:rFonts w:cs="AdvTT3713a231"/>
          <w:color w:val="131413"/>
        </w:rPr>
        <w:t xml:space="preserve">certainty </w:t>
      </w:r>
      <w:r w:rsidRPr="00F01F5C">
        <w:rPr>
          <w:rFonts w:cs="AdvTT3713a231"/>
          <w:color w:val="131413"/>
        </w:rPr>
        <w:t>or to make it necessarily non-propositional and no</w:t>
      </w:r>
      <w:r w:rsidR="0054280F" w:rsidRPr="00F01F5C">
        <w:rPr>
          <w:rFonts w:cs="AdvTT3713a231"/>
          <w:color w:val="131413"/>
        </w:rPr>
        <w:t>n-</w:t>
      </w:r>
      <w:r w:rsidR="0054280F" w:rsidRPr="00F01F5C">
        <w:rPr>
          <w:rFonts w:cs="AdvTT3713a231"/>
          <w:color w:val="131413"/>
        </w:rPr>
        <w:lastRenderedPageBreak/>
        <w:t xml:space="preserve">conceptual. To reiterate: the </w:t>
      </w:r>
      <w:r w:rsidRPr="00F01F5C">
        <w:rPr>
          <w:rFonts w:cs="AdvTT3713a231"/>
          <w:color w:val="131413"/>
        </w:rPr>
        <w:t>training may well be the cause of our behavior but</w:t>
      </w:r>
      <w:r w:rsidR="0054280F" w:rsidRPr="00F01F5C">
        <w:rPr>
          <w:rFonts w:cs="AdvTT3713a231"/>
          <w:color w:val="131413"/>
        </w:rPr>
        <w:t xml:space="preserve"> it is only when we can somehow </w:t>
      </w:r>
      <w:r w:rsidRPr="00F01F5C">
        <w:rPr>
          <w:rFonts w:cs="AdvTT3713a231"/>
          <w:color w:val="131413"/>
        </w:rPr>
        <w:t>grasp the content of the norms we abide by that we can be said</w:t>
      </w:r>
      <w:r w:rsidR="0054280F" w:rsidRPr="00F01F5C">
        <w:rPr>
          <w:rFonts w:cs="AdvTT3713a231"/>
          <w:color w:val="131413"/>
        </w:rPr>
        <w:t xml:space="preserve"> to accept them and that </w:t>
      </w:r>
      <w:r w:rsidRPr="00F01F5C">
        <w:rPr>
          <w:rFonts w:cs="AdvTT3713a231"/>
          <w:color w:val="131413"/>
        </w:rPr>
        <w:t>they can play the role of certainties for which it makes no sense to raise doubts.</w:t>
      </w:r>
    </w:p>
    <w:p w:rsidR="00AD19CC" w:rsidRPr="00F01F5C" w:rsidRDefault="00AD19CC" w:rsidP="004C6263">
      <w:pPr>
        <w:autoSpaceDE w:val="0"/>
        <w:autoSpaceDN w:val="0"/>
        <w:adjustRightInd w:val="0"/>
        <w:spacing w:after="0" w:line="480" w:lineRule="auto"/>
        <w:ind w:firstLine="720"/>
        <w:jc w:val="both"/>
        <w:rPr>
          <w:rFonts w:cs="AdvTT3713a231"/>
          <w:color w:val="131413"/>
        </w:rPr>
      </w:pPr>
      <w:r w:rsidRPr="00F01F5C">
        <w:rPr>
          <w:rFonts w:cs="AdvTT3713a231"/>
          <w:color w:val="131413"/>
        </w:rPr>
        <w:t>Let us now briefly turn to the issue of OC</w:t>
      </w:r>
      <w:r w:rsidRPr="00F01F5C">
        <w:rPr>
          <w:rFonts w:cs="AdvTT3713a231+20"/>
          <w:color w:val="131413"/>
        </w:rPr>
        <w:t>’</w:t>
      </w:r>
      <w:r w:rsidRPr="00F01F5C">
        <w:rPr>
          <w:rFonts w:cs="AdvTT3713a231"/>
          <w:color w:val="131413"/>
        </w:rPr>
        <w:t>s anti-skeptical import. As said, I don</w:t>
      </w:r>
      <w:r w:rsidRPr="00F01F5C">
        <w:rPr>
          <w:rFonts w:cs="AdvTT3713a231+20"/>
          <w:color w:val="131413"/>
        </w:rPr>
        <w:t>’</w:t>
      </w:r>
      <w:r w:rsidR="0054280F" w:rsidRPr="00F01F5C">
        <w:rPr>
          <w:rFonts w:cs="AdvTT3713a231"/>
          <w:color w:val="131413"/>
        </w:rPr>
        <w:t xml:space="preserve">t </w:t>
      </w:r>
      <w:r w:rsidRPr="00F01F5C">
        <w:rPr>
          <w:rFonts w:cs="AdvTT3713a231"/>
          <w:color w:val="131413"/>
        </w:rPr>
        <w:t xml:space="preserve">think it lies in reminding us that we do in fact act with no </w:t>
      </w:r>
      <w:r w:rsidR="0054280F" w:rsidRPr="00F01F5C">
        <w:rPr>
          <w:rFonts w:cs="AdvTT3713a231"/>
          <w:color w:val="131413"/>
        </w:rPr>
        <w:t xml:space="preserve">doubt, since this would be </w:t>
      </w:r>
      <w:r w:rsidRPr="00F01F5C">
        <w:rPr>
          <w:rFonts w:cs="AdvTT3713a231"/>
          <w:color w:val="131413"/>
        </w:rPr>
        <w:t xml:space="preserve">perfectly compatible with </w:t>
      </w:r>
      <w:proofErr w:type="spellStart"/>
      <w:r w:rsidR="004C6263">
        <w:rPr>
          <w:rFonts w:cs="AdvTT3713a231"/>
          <w:color w:val="131413"/>
        </w:rPr>
        <w:t>Humean</w:t>
      </w:r>
      <w:proofErr w:type="spellEnd"/>
      <w:r w:rsidR="004C6263">
        <w:rPr>
          <w:rFonts w:cs="AdvTT3713a231"/>
          <w:color w:val="131413"/>
        </w:rPr>
        <w:t xml:space="preserve"> </w:t>
      </w:r>
      <w:r w:rsidRPr="00F01F5C">
        <w:rPr>
          <w:rFonts w:cs="AdvTT3713a231"/>
          <w:color w:val="131413"/>
        </w:rPr>
        <w:t>skepticism. I take it tha</w:t>
      </w:r>
      <w:r w:rsidR="0054280F" w:rsidRPr="00F01F5C">
        <w:rPr>
          <w:rFonts w:cs="AdvTT3713a231"/>
          <w:color w:val="131413"/>
        </w:rPr>
        <w:t xml:space="preserve">t the more interesting strategy </w:t>
      </w:r>
      <w:r w:rsidRPr="00F01F5C">
        <w:rPr>
          <w:rFonts w:cs="AdvTT3713a231"/>
          <w:color w:val="131413"/>
        </w:rPr>
        <w:t xml:space="preserve">against </w:t>
      </w:r>
      <w:proofErr w:type="spellStart"/>
      <w:r w:rsidR="004C6263">
        <w:rPr>
          <w:rFonts w:cs="AdvTT3713a231"/>
          <w:color w:val="131413"/>
        </w:rPr>
        <w:t>Humean</w:t>
      </w:r>
      <w:proofErr w:type="spellEnd"/>
      <w:r w:rsidR="004C6263">
        <w:rPr>
          <w:rFonts w:cs="AdvTT3713a231"/>
          <w:color w:val="131413"/>
        </w:rPr>
        <w:t xml:space="preserve"> </w:t>
      </w:r>
      <w:r w:rsidRPr="00F01F5C">
        <w:rPr>
          <w:rFonts w:cs="AdvTT3713a231"/>
          <w:color w:val="131413"/>
        </w:rPr>
        <w:t xml:space="preserve">skepticism proposed in OC consists, rather, </w:t>
      </w:r>
      <w:r w:rsidR="000041B0" w:rsidRPr="00F01F5C">
        <w:rPr>
          <w:rFonts w:cs="AdvTT3713a231"/>
          <w:color w:val="131413"/>
        </w:rPr>
        <w:t xml:space="preserve">in deploying a certain analogy. </w:t>
      </w:r>
      <w:r w:rsidRPr="00F01F5C">
        <w:rPr>
          <w:rFonts w:cs="AdvTT3713a231"/>
          <w:color w:val="131413"/>
        </w:rPr>
        <w:t>Just as it would be a categorial mistake to call rule</w:t>
      </w:r>
      <w:r w:rsidR="0054280F" w:rsidRPr="00F01F5C">
        <w:rPr>
          <w:rFonts w:cs="AdvTT3713a231"/>
          <w:color w:val="131413"/>
        </w:rPr>
        <w:t xml:space="preserve">s into doubt, similarly it is a </w:t>
      </w:r>
      <w:r w:rsidRPr="00F01F5C">
        <w:rPr>
          <w:rFonts w:cs="AdvTT3713a231"/>
          <w:color w:val="131413"/>
        </w:rPr>
        <w:t>categorial mistake to call into question those hinges t</w:t>
      </w:r>
      <w:r w:rsidR="0054280F" w:rsidRPr="00F01F5C">
        <w:rPr>
          <w:rFonts w:cs="AdvTT3713a231"/>
          <w:color w:val="131413"/>
        </w:rPr>
        <w:t xml:space="preserve">hat, while having a descriptive </w:t>
      </w:r>
      <w:r w:rsidRPr="00F01F5C">
        <w:rPr>
          <w:rFonts w:cs="AdvTT3713a231"/>
          <w:color w:val="131413"/>
        </w:rPr>
        <w:t>content, are hinges precisely because they play a rul</w:t>
      </w:r>
      <w:r w:rsidR="0054280F" w:rsidRPr="00F01F5C">
        <w:rPr>
          <w:rFonts w:cs="AdvTT3713a231"/>
          <w:color w:val="131413"/>
        </w:rPr>
        <w:t xml:space="preserve">e-like role with respect to our </w:t>
      </w:r>
      <w:r w:rsidRPr="00F01F5C">
        <w:rPr>
          <w:rFonts w:cs="AdvTT3713a231"/>
          <w:color w:val="131413"/>
        </w:rPr>
        <w:t>epistemic practices.</w:t>
      </w:r>
    </w:p>
    <w:p w:rsidR="00AD19CC" w:rsidRPr="00F01F5C" w:rsidRDefault="00AD19CC" w:rsidP="004C6263">
      <w:pPr>
        <w:autoSpaceDE w:val="0"/>
        <w:autoSpaceDN w:val="0"/>
        <w:adjustRightInd w:val="0"/>
        <w:spacing w:after="0" w:line="480" w:lineRule="auto"/>
        <w:ind w:firstLine="720"/>
        <w:jc w:val="both"/>
        <w:rPr>
          <w:rFonts w:cs="AdvTT3713a231"/>
          <w:color w:val="131413"/>
        </w:rPr>
      </w:pPr>
      <w:r w:rsidRPr="00F01F5C">
        <w:rPr>
          <w:rFonts w:cs="AdvTT3713a231"/>
          <w:color w:val="131413"/>
        </w:rPr>
        <w:t>One could object that to point out the normative role of hinges couldn</w:t>
      </w:r>
      <w:r w:rsidRPr="00F01F5C">
        <w:rPr>
          <w:rFonts w:cs="AdvTT3713a231+20"/>
          <w:color w:val="131413"/>
        </w:rPr>
        <w:t>’</w:t>
      </w:r>
      <w:r w:rsidR="0054280F" w:rsidRPr="00F01F5C">
        <w:rPr>
          <w:rFonts w:cs="AdvTT3713a231"/>
          <w:color w:val="131413"/>
        </w:rPr>
        <w:t>t s</w:t>
      </w:r>
      <w:r w:rsidRPr="00F01F5C">
        <w:rPr>
          <w:rFonts w:cs="AdvTT3713a231"/>
          <w:color w:val="131413"/>
        </w:rPr>
        <w:t xml:space="preserve">afeguard against skeptical assaults, because a </w:t>
      </w:r>
      <w:r w:rsidR="0054280F" w:rsidRPr="00F01F5C">
        <w:rPr>
          <w:rFonts w:cs="AdvTT3713a231"/>
          <w:color w:val="131413"/>
        </w:rPr>
        <w:t xml:space="preserve">skeptic could claim that we may </w:t>
      </w:r>
      <w:proofErr w:type="gramStart"/>
      <w:r w:rsidRPr="00F01F5C">
        <w:rPr>
          <w:rFonts w:cs="AdvTT3713a231"/>
          <w:color w:val="131413"/>
        </w:rPr>
        <w:t>actually have</w:t>
      </w:r>
      <w:proofErr w:type="gramEnd"/>
      <w:r w:rsidRPr="00F01F5C">
        <w:rPr>
          <w:rFonts w:cs="AdvTT3713a231"/>
          <w:color w:val="131413"/>
        </w:rPr>
        <w:t xml:space="preserve"> rules which aren</w:t>
      </w:r>
      <w:r w:rsidRPr="00F01F5C">
        <w:rPr>
          <w:rFonts w:cs="AdvTT3713a231+20"/>
          <w:color w:val="131413"/>
        </w:rPr>
        <w:t>’</w:t>
      </w:r>
      <w:r w:rsidRPr="00F01F5C">
        <w:rPr>
          <w:rFonts w:cs="AdvTT3713a231"/>
          <w:color w:val="131413"/>
        </w:rPr>
        <w:t>t at all rationally def</w:t>
      </w:r>
      <w:r w:rsidR="0054280F" w:rsidRPr="00F01F5C">
        <w:rPr>
          <w:rFonts w:cs="AdvTT3713a231"/>
          <w:color w:val="131413"/>
        </w:rPr>
        <w:t xml:space="preserve">ensible. I think this objection </w:t>
      </w:r>
      <w:r w:rsidRPr="00F01F5C">
        <w:rPr>
          <w:rFonts w:cs="AdvTT3713a231"/>
          <w:color w:val="131413"/>
        </w:rPr>
        <w:t>would be unfair to Wittgenstein</w:t>
      </w:r>
      <w:r w:rsidRPr="00F01F5C">
        <w:rPr>
          <w:rFonts w:cs="AdvTT3713a231+20"/>
          <w:color w:val="131413"/>
        </w:rPr>
        <w:t>’</w:t>
      </w:r>
      <w:r w:rsidRPr="00F01F5C">
        <w:rPr>
          <w:rFonts w:cs="AdvTT3713a231"/>
          <w:color w:val="131413"/>
        </w:rPr>
        <w:t>s point. For he isn</w:t>
      </w:r>
      <w:r w:rsidRPr="00F01F5C">
        <w:rPr>
          <w:rFonts w:cs="AdvTT3713a231+20"/>
          <w:color w:val="131413"/>
        </w:rPr>
        <w:t>’</w:t>
      </w:r>
      <w:r w:rsidR="0054280F" w:rsidRPr="00F01F5C">
        <w:rPr>
          <w:rFonts w:cs="AdvTT3713a231"/>
          <w:color w:val="131413"/>
        </w:rPr>
        <w:t xml:space="preserve">t talking just of any </w:t>
      </w:r>
      <w:r w:rsidRPr="00F01F5C">
        <w:rPr>
          <w:rFonts w:cs="AdvTT3713a231"/>
          <w:color w:val="131413"/>
        </w:rPr>
        <w:t>possible rule, but of those we bump into, as i</w:t>
      </w:r>
      <w:r w:rsidR="0054280F" w:rsidRPr="00F01F5C">
        <w:rPr>
          <w:rFonts w:cs="AdvTT3713a231"/>
          <w:color w:val="131413"/>
        </w:rPr>
        <w:t xml:space="preserve">t were, when we investigate our </w:t>
      </w:r>
      <w:r w:rsidRPr="00F01F5C">
        <w:rPr>
          <w:rFonts w:cs="AdvTT3713a231"/>
          <w:color w:val="131413"/>
        </w:rPr>
        <w:t xml:space="preserve">scientific and mundane epistemic practices and </w:t>
      </w:r>
      <w:r w:rsidR="0054280F" w:rsidRPr="00F01F5C">
        <w:rPr>
          <w:rFonts w:cs="AdvTT3713a231"/>
          <w:color w:val="131413"/>
        </w:rPr>
        <w:t xml:space="preserve">discover their presuppositions. </w:t>
      </w:r>
      <w:r w:rsidRPr="00F01F5C">
        <w:rPr>
          <w:rFonts w:cs="AdvTT3713a231"/>
          <w:color w:val="131413"/>
        </w:rPr>
        <w:t xml:space="preserve">Namely, those </w:t>
      </w:r>
      <w:r w:rsidR="006301D0" w:rsidRPr="00F01F5C">
        <w:rPr>
          <w:rFonts w:cs="AdvTT3713a231"/>
          <w:color w:val="131413"/>
        </w:rPr>
        <w:t>hinges</w:t>
      </w:r>
      <w:r w:rsidRPr="00F01F5C">
        <w:rPr>
          <w:rFonts w:cs="AdvTT3713a231"/>
          <w:color w:val="131413"/>
        </w:rPr>
        <w:t xml:space="preserve"> that are presupposed </w:t>
      </w:r>
      <w:r w:rsidR="0054280F" w:rsidRPr="00F01F5C">
        <w:rPr>
          <w:rFonts w:cs="AdvTT3713a231"/>
          <w:color w:val="131413"/>
        </w:rPr>
        <w:t xml:space="preserve">by inquiry, at least </w:t>
      </w:r>
      <w:proofErr w:type="gramStart"/>
      <w:r w:rsidR="0054280F" w:rsidRPr="00F01F5C">
        <w:rPr>
          <w:rFonts w:cs="AdvTT3713a231"/>
          <w:color w:val="131413"/>
        </w:rPr>
        <w:t xml:space="preserve">in </w:t>
      </w:r>
      <w:r w:rsidR="006301D0" w:rsidRPr="00F01F5C">
        <w:rPr>
          <w:rFonts w:cs="AdvTT3713a231"/>
          <w:color w:val="131413"/>
        </w:rPr>
        <w:t>a given</w:t>
      </w:r>
      <w:proofErr w:type="gramEnd"/>
      <w:r w:rsidR="0054280F" w:rsidRPr="00F01F5C">
        <w:rPr>
          <w:rFonts w:cs="AdvTT3713a231"/>
          <w:color w:val="131413"/>
        </w:rPr>
        <w:t xml:space="preserve"> </w:t>
      </w:r>
      <w:r w:rsidRPr="00F01F5C">
        <w:rPr>
          <w:rFonts w:cs="AdvTT3713a231"/>
          <w:color w:val="131413"/>
        </w:rPr>
        <w:t>area</w:t>
      </w:r>
      <w:r w:rsidR="001B0925" w:rsidRPr="00F01F5C">
        <w:rPr>
          <w:rFonts w:cs="AdvTT3713a231"/>
          <w:color w:val="131413"/>
        </w:rPr>
        <w:t>, and that make it possible to produce reasons for or against any empirical proposition</w:t>
      </w:r>
      <w:r w:rsidRPr="00F01F5C">
        <w:rPr>
          <w:rFonts w:cs="AdvTT3713a231"/>
          <w:color w:val="131413"/>
        </w:rPr>
        <w:t>.</w:t>
      </w:r>
      <w:r w:rsidR="001B0925" w:rsidRPr="00F01F5C">
        <w:rPr>
          <w:rFonts w:cs="AdvTT3713a231"/>
          <w:color w:val="131413"/>
        </w:rPr>
        <w:t xml:space="preserve"> Given their role in shaping the epistemic practice that is constitutive of rationality, hinges are not open to skeptical assault. For asking for reasons in their support presupposes the possibility of providing reasons. Yet, epistemic reasons are possible only if hinges are taken for granted.</w:t>
      </w:r>
      <w:r w:rsidR="00FD3985" w:rsidRPr="00F01F5C">
        <w:rPr>
          <w:rFonts w:cs="AdvTT3713a231"/>
          <w:color w:val="131413"/>
        </w:rPr>
        <w:t xml:space="preserve"> </w:t>
      </w:r>
      <w:r w:rsidR="006301D0" w:rsidRPr="00F01F5C">
        <w:rPr>
          <w:rFonts w:cs="AdvTT3713a231"/>
          <w:color w:val="131413"/>
        </w:rPr>
        <w:t>Again, it is no objection that “Nobody is ever been on the Moon” would then be a rule, which is not rationally defensible. For, as we saw, up to when it played a normative role (around 1969), it was not open to serious doubt, and, afterwards, it stopped playing a normative role. Hence, it was no longer a hinge but a</w:t>
      </w:r>
      <w:r w:rsidR="00560F21" w:rsidRPr="00F01F5C">
        <w:rPr>
          <w:rFonts w:cs="AdvTT3713a231"/>
          <w:color w:val="131413"/>
        </w:rPr>
        <w:t>n</w:t>
      </w:r>
      <w:r w:rsidR="006301D0" w:rsidRPr="00F01F5C">
        <w:rPr>
          <w:rFonts w:cs="AdvTT3713a231"/>
          <w:color w:val="131413"/>
        </w:rPr>
        <w:t xml:space="preserve"> ordinary empirical proposition</w:t>
      </w:r>
      <w:r w:rsidR="00560F21" w:rsidRPr="00F01F5C">
        <w:rPr>
          <w:rFonts w:cs="AdvTT3713a231"/>
          <w:color w:val="131413"/>
        </w:rPr>
        <w:t>, subject to verification and control</w:t>
      </w:r>
      <w:r w:rsidR="006301D0" w:rsidRPr="00F01F5C">
        <w:rPr>
          <w:rFonts w:cs="AdvTT3713a231"/>
          <w:color w:val="131413"/>
        </w:rPr>
        <w:t>.</w:t>
      </w:r>
    </w:p>
    <w:p w:rsidR="009A47B3" w:rsidRPr="00F01F5C" w:rsidRDefault="00AD19CC" w:rsidP="004C6263">
      <w:pPr>
        <w:autoSpaceDE w:val="0"/>
        <w:autoSpaceDN w:val="0"/>
        <w:adjustRightInd w:val="0"/>
        <w:spacing w:after="0" w:line="480" w:lineRule="auto"/>
        <w:ind w:firstLine="720"/>
        <w:jc w:val="both"/>
        <w:rPr>
          <w:rFonts w:cs="AdvTT3713a231"/>
          <w:color w:val="131413"/>
        </w:rPr>
      </w:pPr>
      <w:r w:rsidRPr="00F01F5C">
        <w:rPr>
          <w:rFonts w:cs="AdvTT3713a231"/>
          <w:color w:val="131413"/>
        </w:rPr>
        <w:t xml:space="preserve">Actually, in </w:t>
      </w:r>
      <w:r w:rsidR="00B42F3F" w:rsidRPr="00F01F5C">
        <w:rPr>
          <w:rFonts w:cs="AdvTT3713a231"/>
          <w:color w:val="131413"/>
        </w:rPr>
        <w:t>Coliva (2010, chapter 3)</w:t>
      </w:r>
      <w:r w:rsidRPr="00F01F5C">
        <w:rPr>
          <w:rFonts w:cs="AdvTT3713a231"/>
          <w:color w:val="131413"/>
        </w:rPr>
        <w:t>, I have ma</w:t>
      </w:r>
      <w:r w:rsidR="0054280F" w:rsidRPr="00F01F5C">
        <w:rPr>
          <w:rFonts w:cs="AdvTT3713a231"/>
          <w:color w:val="131413"/>
        </w:rPr>
        <w:t xml:space="preserve">intained that Wittgenstein also </w:t>
      </w:r>
      <w:r w:rsidRPr="00F01F5C">
        <w:rPr>
          <w:rFonts w:cs="AdvTT3713a231"/>
          <w:color w:val="131413"/>
        </w:rPr>
        <w:t>made the stronger claim that since skeptical doubts a</w:t>
      </w:r>
      <w:r w:rsidR="0054280F" w:rsidRPr="00F01F5C">
        <w:rPr>
          <w:rFonts w:cs="AdvTT3713a231"/>
          <w:color w:val="131413"/>
        </w:rPr>
        <w:t xml:space="preserve">re unmotivated, for the reasons </w:t>
      </w:r>
      <w:r w:rsidRPr="00F01F5C">
        <w:rPr>
          <w:rFonts w:cs="AdvTT3713a231"/>
          <w:color w:val="131413"/>
        </w:rPr>
        <w:t>just sketched, they are actually not meaningful. The</w:t>
      </w:r>
      <w:r w:rsidR="0054280F" w:rsidRPr="00F01F5C">
        <w:rPr>
          <w:rFonts w:cs="AdvTT3713a231"/>
          <w:color w:val="131413"/>
        </w:rPr>
        <w:t>y are pieces of nonsense</w:t>
      </w:r>
      <w:r w:rsidR="006301D0" w:rsidRPr="00F01F5C">
        <w:rPr>
          <w:rFonts w:cs="AdvTT3713a231"/>
          <w:color w:val="131413"/>
        </w:rPr>
        <w:t>,</w:t>
      </w:r>
      <w:r w:rsidR="0054280F" w:rsidRPr="00F01F5C">
        <w:rPr>
          <w:rFonts w:cs="AdvTT3713a231"/>
          <w:color w:val="131413"/>
        </w:rPr>
        <w:t xml:space="preserve"> which, </w:t>
      </w:r>
      <w:r w:rsidRPr="00F01F5C">
        <w:rPr>
          <w:rFonts w:cs="AdvTT3713a231"/>
          <w:color w:val="131413"/>
        </w:rPr>
        <w:t>however, retain an appearance of sense because we pro</w:t>
      </w:r>
      <w:r w:rsidR="0054280F" w:rsidRPr="00F01F5C">
        <w:rPr>
          <w:rFonts w:cs="AdvTT3713a231"/>
          <w:color w:val="131413"/>
        </w:rPr>
        <w:t xml:space="preserve">ject it onto them from ordinary </w:t>
      </w:r>
      <w:r w:rsidRPr="00F01F5C">
        <w:rPr>
          <w:rFonts w:cs="AdvTT3713a231"/>
          <w:color w:val="131413"/>
        </w:rPr>
        <w:t>contexts of doubt. Now, I think, as I have stressed in th</w:t>
      </w:r>
      <w:r w:rsidR="0054280F" w:rsidRPr="00F01F5C">
        <w:rPr>
          <w:rFonts w:cs="AdvTT3713a231"/>
          <w:color w:val="131413"/>
        </w:rPr>
        <w:t xml:space="preserve">e book, that this claim is much </w:t>
      </w:r>
      <w:r w:rsidRPr="00F01F5C">
        <w:rPr>
          <w:rFonts w:cs="AdvTT3713a231"/>
          <w:color w:val="131413"/>
        </w:rPr>
        <w:t xml:space="preserve">more </w:t>
      </w:r>
      <w:r w:rsidRPr="00F01F5C">
        <w:rPr>
          <w:rFonts w:cs="AdvTT3713a231"/>
          <w:color w:val="131413"/>
        </w:rPr>
        <w:lastRenderedPageBreak/>
        <w:t>contentious and difficult to defend, in my view, and</w:t>
      </w:r>
      <w:r w:rsidR="0054280F" w:rsidRPr="00F01F5C">
        <w:rPr>
          <w:rFonts w:cs="AdvTT3713a231"/>
          <w:color w:val="131413"/>
        </w:rPr>
        <w:t xml:space="preserve"> for this reason less fruitful. </w:t>
      </w:r>
      <w:r w:rsidRPr="00F01F5C">
        <w:rPr>
          <w:rFonts w:cs="AdvTT3713a231"/>
          <w:color w:val="131413"/>
        </w:rPr>
        <w:t>Yet, it is undoubtedly another avenue of potential development for an anti-skeptical</w:t>
      </w:r>
      <w:r w:rsidR="0054280F" w:rsidRPr="00F01F5C">
        <w:rPr>
          <w:rFonts w:cs="AdvTT3713a231"/>
          <w:color w:val="131413"/>
        </w:rPr>
        <w:t xml:space="preserve"> </w:t>
      </w:r>
      <w:r w:rsidRPr="00F01F5C">
        <w:rPr>
          <w:rFonts w:cs="AdvTT3713a231"/>
          <w:color w:val="131413"/>
        </w:rPr>
        <w:t>strategy; one which would require one to be prepared</w:t>
      </w:r>
      <w:r w:rsidR="0054280F" w:rsidRPr="00F01F5C">
        <w:rPr>
          <w:rFonts w:cs="AdvTT3713a231"/>
          <w:color w:val="131413"/>
        </w:rPr>
        <w:t xml:space="preserve"> to embrace a strong version of </w:t>
      </w:r>
      <w:r w:rsidRPr="00F01F5C">
        <w:rPr>
          <w:rFonts w:cs="AdvTT3713a231"/>
          <w:color w:val="131413"/>
        </w:rPr>
        <w:t>the idea that meaning is use.</w:t>
      </w:r>
    </w:p>
    <w:p w:rsidR="00AD19CC" w:rsidRPr="00F01F5C" w:rsidRDefault="00AD19CC" w:rsidP="004C6263">
      <w:pPr>
        <w:autoSpaceDE w:val="0"/>
        <w:autoSpaceDN w:val="0"/>
        <w:adjustRightInd w:val="0"/>
        <w:spacing w:after="0" w:line="480" w:lineRule="auto"/>
        <w:ind w:firstLine="720"/>
        <w:jc w:val="both"/>
        <w:rPr>
          <w:rFonts w:cs="AdvTT3713a231"/>
          <w:color w:val="131413"/>
        </w:rPr>
      </w:pPr>
      <w:r w:rsidRPr="00F01F5C">
        <w:rPr>
          <w:rFonts w:cs="AdvTT3713a231"/>
          <w:color w:val="131413"/>
        </w:rPr>
        <w:t xml:space="preserve">Let </w:t>
      </w:r>
      <w:r w:rsidR="006301D0" w:rsidRPr="00F01F5C">
        <w:rPr>
          <w:rFonts w:cs="AdvTT3713a231"/>
          <w:color w:val="131413"/>
        </w:rPr>
        <w:t>us now turn to</w:t>
      </w:r>
      <w:r w:rsidR="000041B0" w:rsidRPr="00F01F5C">
        <w:rPr>
          <w:rFonts w:cs="AdvTT3713a231"/>
          <w:color w:val="131413"/>
        </w:rPr>
        <w:t xml:space="preserve"> the issue of </w:t>
      </w:r>
      <w:r w:rsidRPr="00F01F5C">
        <w:rPr>
          <w:rFonts w:cs="AdvTT3713a231"/>
          <w:color w:val="131413"/>
        </w:rPr>
        <w:t>Wittgenstein</w:t>
      </w:r>
      <w:r w:rsidRPr="00F01F5C">
        <w:rPr>
          <w:rFonts w:cs="AdvTT3713a231+20"/>
          <w:color w:val="131413"/>
        </w:rPr>
        <w:t>’</w:t>
      </w:r>
      <w:r w:rsidRPr="00F01F5C">
        <w:rPr>
          <w:rFonts w:cs="AdvTT3713a231"/>
          <w:color w:val="131413"/>
        </w:rPr>
        <w:t xml:space="preserve">s foundationalism. The term </w:t>
      </w:r>
      <w:r w:rsidRPr="00F01F5C">
        <w:rPr>
          <w:rFonts w:cs="AdvTT3713a231+20"/>
          <w:color w:val="131413"/>
        </w:rPr>
        <w:t>“</w:t>
      </w:r>
      <w:r w:rsidRPr="00F01F5C">
        <w:rPr>
          <w:rFonts w:cs="AdvTT3713a231"/>
          <w:color w:val="131413"/>
        </w:rPr>
        <w:t>foundationalism</w:t>
      </w:r>
      <w:r w:rsidRPr="00F01F5C">
        <w:rPr>
          <w:rFonts w:cs="AdvTT3713a231+20"/>
          <w:color w:val="131413"/>
        </w:rPr>
        <w:t>”</w:t>
      </w:r>
      <w:r w:rsidR="000041B0" w:rsidRPr="00F01F5C">
        <w:rPr>
          <w:rFonts w:cs="AdvTT3713a231"/>
          <w:color w:val="131413"/>
        </w:rPr>
        <w:t xml:space="preserve">, in philosophy, </w:t>
      </w:r>
      <w:r w:rsidRPr="00F01F5C">
        <w:rPr>
          <w:rFonts w:cs="AdvTT3713a231"/>
          <w:color w:val="131413"/>
        </w:rPr>
        <w:t>describes a precise epistemological position. Michael Williams (</w:t>
      </w:r>
      <w:r w:rsidRPr="00F01F5C">
        <w:rPr>
          <w:rFonts w:cs="AdvTT3713a231"/>
          <w:color w:val="3A2A98"/>
        </w:rPr>
        <w:t>2005</w:t>
      </w:r>
      <w:r w:rsidR="000041B0" w:rsidRPr="00F01F5C">
        <w:rPr>
          <w:rFonts w:cs="AdvTT3713a231"/>
          <w:color w:val="131413"/>
        </w:rPr>
        <w:t xml:space="preserve">) has </w:t>
      </w:r>
      <w:r w:rsidRPr="00F01F5C">
        <w:rPr>
          <w:rFonts w:cs="AdvTT3713a231"/>
          <w:color w:val="131413"/>
        </w:rPr>
        <w:t>usefully reminded us of its main features in connect</w:t>
      </w:r>
      <w:r w:rsidR="000041B0" w:rsidRPr="00F01F5C">
        <w:rPr>
          <w:rFonts w:cs="AdvTT3713a231"/>
          <w:color w:val="131413"/>
        </w:rPr>
        <w:t xml:space="preserve">ion with an analysis of whether </w:t>
      </w:r>
      <w:r w:rsidR="0027334B" w:rsidRPr="00F01F5C">
        <w:rPr>
          <w:rFonts w:cs="AdvTT50a2f13e.I"/>
          <w:color w:val="131413"/>
        </w:rPr>
        <w:t>OC</w:t>
      </w:r>
      <w:r w:rsidRPr="00F01F5C">
        <w:rPr>
          <w:rFonts w:cs="AdvTT50a2f13e.I"/>
          <w:color w:val="131413"/>
        </w:rPr>
        <w:t xml:space="preserve"> </w:t>
      </w:r>
      <w:proofErr w:type="gramStart"/>
      <w:r w:rsidRPr="00F01F5C">
        <w:rPr>
          <w:rFonts w:cs="AdvTT3713a231"/>
          <w:color w:val="131413"/>
        </w:rPr>
        <w:t>can be seen as</w:t>
      </w:r>
      <w:proofErr w:type="gramEnd"/>
      <w:r w:rsidRPr="00F01F5C">
        <w:rPr>
          <w:rFonts w:cs="AdvTT3713a231"/>
          <w:color w:val="131413"/>
        </w:rPr>
        <w:t xml:space="preserve"> proposing a form of it. A</w:t>
      </w:r>
      <w:r w:rsidR="000041B0" w:rsidRPr="00F01F5C">
        <w:rPr>
          <w:rFonts w:cs="AdvTT3713a231"/>
          <w:color w:val="131413"/>
        </w:rPr>
        <w:t>ccordingly, (</w:t>
      </w:r>
      <w:proofErr w:type="spellStart"/>
      <w:r w:rsidR="000041B0" w:rsidRPr="00F01F5C">
        <w:rPr>
          <w:rFonts w:cs="AdvTT3713a231"/>
          <w:color w:val="131413"/>
        </w:rPr>
        <w:t>i</w:t>
      </w:r>
      <w:proofErr w:type="spellEnd"/>
      <w:r w:rsidR="000041B0" w:rsidRPr="00F01F5C">
        <w:rPr>
          <w:rFonts w:cs="AdvTT3713a231"/>
          <w:color w:val="131413"/>
        </w:rPr>
        <w:t xml:space="preserve">) foundations are </w:t>
      </w:r>
      <w:r w:rsidRPr="00F01F5C">
        <w:rPr>
          <w:rFonts w:cs="AdvTT3713a231"/>
          <w:color w:val="131413"/>
        </w:rPr>
        <w:t>universal; (ii) there must be criteria to tell them apart fr</w:t>
      </w:r>
      <w:r w:rsidR="000041B0" w:rsidRPr="00F01F5C">
        <w:rPr>
          <w:rFonts w:cs="AdvTT3713a231"/>
          <w:color w:val="131413"/>
        </w:rPr>
        <w:t xml:space="preserve">om what they ground; (iii) they </w:t>
      </w:r>
      <w:r w:rsidRPr="00F01F5C">
        <w:rPr>
          <w:rFonts w:cs="AdvTT3713a231"/>
          <w:color w:val="131413"/>
        </w:rPr>
        <w:t xml:space="preserve">must be independent of what they ground; (iv) the </w:t>
      </w:r>
      <w:r w:rsidR="000041B0" w:rsidRPr="00F01F5C">
        <w:rPr>
          <w:rFonts w:cs="AdvTT3713a231"/>
          <w:color w:val="131413"/>
        </w:rPr>
        <w:t xml:space="preserve">passage from grounds to what is </w:t>
      </w:r>
      <w:r w:rsidRPr="00F01F5C">
        <w:rPr>
          <w:rFonts w:cs="AdvTT3713a231"/>
          <w:color w:val="131413"/>
        </w:rPr>
        <w:t>grounded shouldn</w:t>
      </w:r>
      <w:r w:rsidRPr="00F01F5C">
        <w:rPr>
          <w:rFonts w:cs="AdvTT3713a231+20"/>
          <w:color w:val="131413"/>
        </w:rPr>
        <w:t>’</w:t>
      </w:r>
      <w:r w:rsidRPr="00F01F5C">
        <w:rPr>
          <w:rFonts w:cs="AdvTT3713a231"/>
          <w:color w:val="131413"/>
        </w:rPr>
        <w:t>t require appeal to non-basic propo</w:t>
      </w:r>
      <w:r w:rsidR="000041B0" w:rsidRPr="00F01F5C">
        <w:rPr>
          <w:rFonts w:cs="AdvTT3713a231"/>
          <w:color w:val="131413"/>
        </w:rPr>
        <w:t xml:space="preserve">sitions. We could also add that </w:t>
      </w:r>
      <w:r w:rsidRPr="00F01F5C">
        <w:rPr>
          <w:rFonts w:cs="AdvTT3713a231"/>
          <w:color w:val="131413"/>
        </w:rPr>
        <w:t>(v) grounds should play an epistemically supporti</w:t>
      </w:r>
      <w:r w:rsidR="000041B0" w:rsidRPr="00F01F5C">
        <w:rPr>
          <w:rFonts w:cs="AdvTT3713a231"/>
          <w:color w:val="131413"/>
        </w:rPr>
        <w:t xml:space="preserve">ng role with respect to what is </w:t>
      </w:r>
      <w:r w:rsidRPr="00F01F5C">
        <w:rPr>
          <w:rFonts w:cs="AdvTT3713a231"/>
          <w:color w:val="131413"/>
        </w:rPr>
        <w:t>grounded by them; and (vi) that they should be epis</w:t>
      </w:r>
      <w:r w:rsidR="000041B0" w:rsidRPr="00F01F5C">
        <w:rPr>
          <w:rFonts w:cs="AdvTT3713a231"/>
          <w:color w:val="131413"/>
        </w:rPr>
        <w:t xml:space="preserve">temically more secure than what </w:t>
      </w:r>
      <w:r w:rsidRPr="00F01F5C">
        <w:rPr>
          <w:rFonts w:cs="AdvTT3713a231"/>
          <w:color w:val="131413"/>
        </w:rPr>
        <w:t>they ground.</w:t>
      </w:r>
    </w:p>
    <w:p w:rsidR="00AD19CC" w:rsidRPr="00F01F5C" w:rsidRDefault="00AD19CC" w:rsidP="004C6263">
      <w:pPr>
        <w:autoSpaceDE w:val="0"/>
        <w:autoSpaceDN w:val="0"/>
        <w:adjustRightInd w:val="0"/>
        <w:spacing w:after="0" w:line="480" w:lineRule="auto"/>
        <w:ind w:firstLine="720"/>
        <w:jc w:val="both"/>
        <w:rPr>
          <w:rFonts w:cs="AdvTT3713a231"/>
          <w:color w:val="131413"/>
        </w:rPr>
      </w:pPr>
      <w:r w:rsidRPr="00F01F5C">
        <w:rPr>
          <w:rFonts w:cs="AdvTT3713a231"/>
          <w:color w:val="131413"/>
        </w:rPr>
        <w:t>As to (</w:t>
      </w:r>
      <w:proofErr w:type="spellStart"/>
      <w:r w:rsidRPr="00F01F5C">
        <w:rPr>
          <w:rFonts w:cs="AdvTT3713a231"/>
          <w:color w:val="131413"/>
        </w:rPr>
        <w:t>i</w:t>
      </w:r>
      <w:proofErr w:type="spellEnd"/>
      <w:r w:rsidRPr="00F01F5C">
        <w:rPr>
          <w:rFonts w:cs="AdvTT3713a231"/>
          <w:color w:val="131413"/>
        </w:rPr>
        <w:t>), of course some of Wittgenstein</w:t>
      </w:r>
      <w:r w:rsidRPr="00F01F5C">
        <w:rPr>
          <w:rFonts w:cs="AdvTT3713a231+20"/>
          <w:color w:val="131413"/>
        </w:rPr>
        <w:t>’</w:t>
      </w:r>
      <w:r w:rsidRPr="00F01F5C">
        <w:rPr>
          <w:rFonts w:cs="AdvTT3713a231"/>
          <w:color w:val="131413"/>
        </w:rPr>
        <w:t>s hinges ar</w:t>
      </w:r>
      <w:r w:rsidR="000041B0" w:rsidRPr="00F01F5C">
        <w:rPr>
          <w:rFonts w:cs="AdvTT3713a231"/>
          <w:color w:val="131413"/>
        </w:rPr>
        <w:t xml:space="preserve">e universal, but surely not all </w:t>
      </w:r>
      <w:r w:rsidRPr="00F01F5C">
        <w:rPr>
          <w:rFonts w:cs="AdvTT3713a231"/>
          <w:color w:val="131413"/>
        </w:rPr>
        <w:t xml:space="preserve">of them. </w:t>
      </w:r>
      <w:r w:rsidRPr="00F01F5C">
        <w:rPr>
          <w:rFonts w:cs="AdvTT3713a231+20"/>
          <w:color w:val="131413"/>
        </w:rPr>
        <w:t>“</w:t>
      </w:r>
      <w:r w:rsidRPr="00F01F5C">
        <w:rPr>
          <w:rFonts w:cs="AdvTT3713a231"/>
          <w:color w:val="131413"/>
        </w:rPr>
        <w:t>My name is AC</w:t>
      </w:r>
      <w:r w:rsidRPr="00F01F5C">
        <w:rPr>
          <w:rFonts w:cs="AdvTT3713a231+20"/>
          <w:color w:val="131413"/>
        </w:rPr>
        <w:t xml:space="preserve">” </w:t>
      </w:r>
      <w:r w:rsidRPr="00F01F5C">
        <w:rPr>
          <w:rFonts w:cs="AdvTT3713a231"/>
          <w:color w:val="131413"/>
        </w:rPr>
        <w:t>is a hinge for me, not for a</w:t>
      </w:r>
      <w:r w:rsidR="000041B0" w:rsidRPr="00F01F5C">
        <w:rPr>
          <w:rFonts w:cs="AdvTT3713a231"/>
          <w:color w:val="131413"/>
        </w:rPr>
        <w:t xml:space="preserve">ny other person, although it is </w:t>
      </w:r>
      <w:r w:rsidRPr="00F01F5C">
        <w:rPr>
          <w:rFonts w:cs="AdvTT3713a231"/>
          <w:color w:val="131413"/>
        </w:rPr>
        <w:t>to be expected that each person will have his own similar hinge</w:t>
      </w:r>
      <w:r w:rsidRPr="00F01F5C">
        <w:rPr>
          <w:rFonts w:cs="AdvTT3713a231+20"/>
          <w:color w:val="131413"/>
        </w:rPr>
        <w:t>—</w:t>
      </w:r>
      <w:r w:rsidRPr="00F01F5C">
        <w:rPr>
          <w:rFonts w:cs="AdvTT3713a231"/>
          <w:color w:val="131413"/>
        </w:rPr>
        <w:t>i.e.</w:t>
      </w:r>
      <w:r w:rsidR="00560F21" w:rsidRPr="00F01F5C">
        <w:rPr>
          <w:rFonts w:cs="AdvTT3713a231"/>
          <w:color w:val="131413"/>
        </w:rPr>
        <w:t xml:space="preserve"> </w:t>
      </w:r>
      <w:r w:rsidRPr="00F01F5C">
        <w:rPr>
          <w:rFonts w:cs="AdvTT3713a231+20"/>
          <w:color w:val="131413"/>
        </w:rPr>
        <w:t>“</w:t>
      </w:r>
      <w:r w:rsidR="000041B0" w:rsidRPr="00F01F5C">
        <w:rPr>
          <w:rFonts w:cs="AdvTT3713a231"/>
          <w:color w:val="131413"/>
        </w:rPr>
        <w:t xml:space="preserve">My name is </w:t>
      </w:r>
      <w:r w:rsidRPr="00F01F5C">
        <w:rPr>
          <w:rFonts w:cs="AdvTT3713a231"/>
          <w:color w:val="131413"/>
        </w:rPr>
        <w:t>NN</w:t>
      </w:r>
      <w:r w:rsidRPr="00F01F5C">
        <w:rPr>
          <w:rFonts w:cs="AdvTT3713a231+20"/>
          <w:color w:val="131413"/>
        </w:rPr>
        <w:t>”</w:t>
      </w:r>
      <w:r w:rsidRPr="00F01F5C">
        <w:rPr>
          <w:rFonts w:cs="AdvTT3713a231"/>
          <w:color w:val="131413"/>
        </w:rPr>
        <w:t>. Regarding (ii), what plays the role of a hinge is</w:t>
      </w:r>
      <w:r w:rsidR="000041B0" w:rsidRPr="00F01F5C">
        <w:rPr>
          <w:rFonts w:cs="AdvTT3713a231"/>
          <w:color w:val="131413"/>
        </w:rPr>
        <w:t xml:space="preserve"> contextually determined and we </w:t>
      </w:r>
      <w:r w:rsidRPr="00F01F5C">
        <w:rPr>
          <w:rFonts w:cs="AdvTT3713a231"/>
          <w:color w:val="131413"/>
        </w:rPr>
        <w:t>have to look at the practice</w:t>
      </w:r>
      <w:r w:rsidRPr="00F01F5C">
        <w:rPr>
          <w:rFonts w:cs="AdvTT3713a231+20"/>
          <w:color w:val="131413"/>
        </w:rPr>
        <w:t>—</w:t>
      </w:r>
      <w:r w:rsidRPr="00F01F5C">
        <w:rPr>
          <w:rFonts w:cs="AdvTT3713a231"/>
          <w:color w:val="131413"/>
        </w:rPr>
        <w:t>i.e. at how each spe</w:t>
      </w:r>
      <w:r w:rsidR="000041B0" w:rsidRPr="00F01F5C">
        <w:rPr>
          <w:rFonts w:cs="AdvTT3713a231"/>
          <w:color w:val="131413"/>
        </w:rPr>
        <w:t xml:space="preserve">cific language game is actually </w:t>
      </w:r>
      <w:r w:rsidRPr="00F01F5C">
        <w:rPr>
          <w:rFonts w:cs="AdvTT3713a231"/>
          <w:color w:val="131413"/>
        </w:rPr>
        <w:t>played</w:t>
      </w:r>
      <w:r w:rsidRPr="00F01F5C">
        <w:rPr>
          <w:rFonts w:cs="AdvTT3713a231+20"/>
          <w:color w:val="131413"/>
        </w:rPr>
        <w:t>—</w:t>
      </w:r>
      <w:r w:rsidRPr="00F01F5C">
        <w:rPr>
          <w:rFonts w:cs="AdvTT3713a231"/>
          <w:color w:val="131413"/>
        </w:rPr>
        <w:t>in order to determine what function</w:t>
      </w:r>
      <w:r w:rsidR="004C6263">
        <w:rPr>
          <w:rFonts w:cs="AdvTT3713a231"/>
          <w:color w:val="131413"/>
        </w:rPr>
        <w:t>s</w:t>
      </w:r>
      <w:r w:rsidR="000041B0" w:rsidRPr="00F01F5C">
        <w:rPr>
          <w:rFonts w:cs="AdvTT3713a231"/>
          <w:color w:val="131413"/>
        </w:rPr>
        <w:t xml:space="preserve"> </w:t>
      </w:r>
      <w:r w:rsidR="004C6263">
        <w:rPr>
          <w:rFonts w:cs="AdvTT3713a231"/>
          <w:color w:val="131413"/>
        </w:rPr>
        <w:t>as</w:t>
      </w:r>
      <w:r w:rsidR="000041B0" w:rsidRPr="00F01F5C">
        <w:rPr>
          <w:rFonts w:cs="AdvTT3713a231"/>
          <w:color w:val="131413"/>
        </w:rPr>
        <w:t xml:space="preserve"> a hinge with respect to it. </w:t>
      </w:r>
      <w:r w:rsidRPr="00F01F5C">
        <w:rPr>
          <w:rFonts w:cs="AdvTT3713a231"/>
          <w:color w:val="131413"/>
        </w:rPr>
        <w:t>However, the very same proposition could play a different role in a different context.</w:t>
      </w:r>
      <w:r w:rsidR="000041B0" w:rsidRPr="00F01F5C">
        <w:rPr>
          <w:rFonts w:cs="AdvTT3713a231"/>
          <w:color w:val="131413"/>
        </w:rPr>
        <w:t xml:space="preserve"> </w:t>
      </w:r>
      <w:r w:rsidRPr="00F01F5C">
        <w:rPr>
          <w:rFonts w:cs="AdvTT3713a231"/>
          <w:color w:val="131413"/>
        </w:rPr>
        <w:t xml:space="preserve">This is clearly the case with </w:t>
      </w:r>
      <w:r w:rsidRPr="00F01F5C">
        <w:rPr>
          <w:rFonts w:cs="AdvTT3713a231+20"/>
          <w:color w:val="131413"/>
        </w:rPr>
        <w:t>“</w:t>
      </w:r>
      <w:r w:rsidRPr="00F01F5C">
        <w:rPr>
          <w:rFonts w:cs="AdvTT3713a231"/>
          <w:color w:val="131413"/>
        </w:rPr>
        <w:t>Here is my hand</w:t>
      </w:r>
      <w:r w:rsidRPr="00F01F5C">
        <w:rPr>
          <w:rFonts w:cs="AdvTT3713a231+20"/>
          <w:color w:val="131413"/>
        </w:rPr>
        <w:t>”</w:t>
      </w:r>
      <w:r w:rsidR="004C6263">
        <w:rPr>
          <w:rFonts w:cs="AdvTT3713a231"/>
          <w:color w:val="131413"/>
        </w:rPr>
        <w:t xml:space="preserve">. Yet, </w:t>
      </w:r>
      <w:r w:rsidRPr="00F01F5C">
        <w:rPr>
          <w:rFonts w:cs="AdvTT3713a231"/>
          <w:color w:val="131413"/>
        </w:rPr>
        <w:t xml:space="preserve">the </w:t>
      </w:r>
      <w:r w:rsidR="00C20689" w:rsidRPr="00F01F5C">
        <w:rPr>
          <w:rFonts w:cs="AdvTT3713a231"/>
          <w:color w:val="131413"/>
        </w:rPr>
        <w:t>doppelgänger</w:t>
      </w:r>
      <w:r w:rsidRPr="00F01F5C">
        <w:rPr>
          <w:rFonts w:cs="AdvTT3713a231"/>
          <w:color w:val="131413"/>
        </w:rPr>
        <w:t xml:space="preserve"> view</w:t>
      </w:r>
      <w:r w:rsidR="000041B0" w:rsidRPr="00F01F5C">
        <w:rPr>
          <w:rFonts w:cs="AdvTT3713a231"/>
          <w:color w:val="131413"/>
        </w:rPr>
        <w:t xml:space="preserve"> </w:t>
      </w:r>
      <w:r w:rsidRPr="00F01F5C">
        <w:rPr>
          <w:rFonts w:cs="AdvTT3713a231"/>
          <w:color w:val="131413"/>
        </w:rPr>
        <w:t>obscures this point, because it entails that those words</w:t>
      </w:r>
      <w:r w:rsidR="000041B0" w:rsidRPr="00F01F5C">
        <w:rPr>
          <w:rFonts w:cs="AdvTT3713a231"/>
          <w:color w:val="131413"/>
        </w:rPr>
        <w:t xml:space="preserve"> actually express two different </w:t>
      </w:r>
      <w:r w:rsidRPr="00F01F5C">
        <w:rPr>
          <w:rFonts w:cs="AdvTT3713a231"/>
          <w:color w:val="131413"/>
        </w:rPr>
        <w:t>things and that context decides which one it is, but, whateve</w:t>
      </w:r>
      <w:r w:rsidR="000041B0" w:rsidRPr="00F01F5C">
        <w:rPr>
          <w:rFonts w:cs="AdvTT3713a231"/>
          <w:color w:val="131413"/>
        </w:rPr>
        <w:t xml:space="preserve">r it is, it is either a rule or </w:t>
      </w:r>
      <w:r w:rsidRPr="00F01F5C">
        <w:rPr>
          <w:rFonts w:cs="AdvTT3713a231"/>
          <w:color w:val="131413"/>
        </w:rPr>
        <w:t>an empirical proposition once and for all. With respect to (</w:t>
      </w:r>
      <w:r w:rsidR="000041B0" w:rsidRPr="00F01F5C">
        <w:rPr>
          <w:rFonts w:cs="AdvTT3713a231"/>
          <w:color w:val="131413"/>
        </w:rPr>
        <w:t xml:space="preserve">iii), hinges, for Wittgenstein, </w:t>
      </w:r>
      <w:r w:rsidRPr="00F01F5C">
        <w:rPr>
          <w:rFonts w:cs="AdvTT3713a231"/>
          <w:color w:val="131413"/>
        </w:rPr>
        <w:t>aren</w:t>
      </w:r>
      <w:r w:rsidRPr="00F01F5C">
        <w:rPr>
          <w:rFonts w:cs="AdvTT3713a231+20"/>
          <w:color w:val="131413"/>
        </w:rPr>
        <w:t>’</w:t>
      </w:r>
      <w:r w:rsidRPr="00F01F5C">
        <w:rPr>
          <w:rFonts w:cs="AdvTT3713a231"/>
          <w:color w:val="131413"/>
        </w:rPr>
        <w:t>t such because they are intrinsically epis</w:t>
      </w:r>
      <w:r w:rsidR="000041B0" w:rsidRPr="00F01F5C">
        <w:rPr>
          <w:rFonts w:cs="AdvTT3713a231"/>
          <w:color w:val="131413"/>
        </w:rPr>
        <w:t xml:space="preserve">temically secure or more </w:t>
      </w:r>
      <w:r w:rsidR="006301D0" w:rsidRPr="00F01F5C">
        <w:rPr>
          <w:rFonts w:cs="AdvTT3713a231"/>
          <w:color w:val="131413"/>
        </w:rPr>
        <w:t xml:space="preserve">epistemically </w:t>
      </w:r>
      <w:r w:rsidR="000041B0" w:rsidRPr="00F01F5C">
        <w:rPr>
          <w:rFonts w:cs="AdvTT3713a231"/>
          <w:color w:val="131413"/>
        </w:rPr>
        <w:t xml:space="preserve">secure </w:t>
      </w:r>
      <w:r w:rsidRPr="00F01F5C">
        <w:rPr>
          <w:rFonts w:cs="AdvTT3713a231"/>
          <w:color w:val="131413"/>
        </w:rPr>
        <w:t xml:space="preserve">than what they are supposed to ground (vi). Rather, </w:t>
      </w:r>
      <w:r w:rsidR="000041B0" w:rsidRPr="00F01F5C">
        <w:rPr>
          <w:rFonts w:cs="AdvTT3713a231"/>
          <w:color w:val="131413"/>
        </w:rPr>
        <w:t xml:space="preserve">they are kept fixed by our very </w:t>
      </w:r>
      <w:r w:rsidRPr="00F01F5C">
        <w:rPr>
          <w:rFonts w:cs="AdvTT3713a231"/>
          <w:color w:val="131413"/>
        </w:rPr>
        <w:t>practice, by what rotates around them. Regarding (iv), i</w:t>
      </w:r>
      <w:r w:rsidR="000041B0" w:rsidRPr="00F01F5C">
        <w:rPr>
          <w:rFonts w:cs="AdvTT3713a231"/>
          <w:color w:val="131413"/>
        </w:rPr>
        <w:t xml:space="preserve">t should be noticed that hinges </w:t>
      </w:r>
      <w:r w:rsidRPr="00F01F5C">
        <w:rPr>
          <w:rFonts w:cs="AdvTT3713a231"/>
          <w:color w:val="131413"/>
        </w:rPr>
        <w:t>aren</w:t>
      </w:r>
      <w:r w:rsidRPr="00F01F5C">
        <w:rPr>
          <w:rFonts w:cs="AdvTT3713a231+20"/>
          <w:color w:val="131413"/>
        </w:rPr>
        <w:t>’</w:t>
      </w:r>
      <w:r w:rsidRPr="00F01F5C">
        <w:rPr>
          <w:rFonts w:cs="AdvTT3713a231"/>
          <w:color w:val="131413"/>
        </w:rPr>
        <w:t xml:space="preserve">t eternal and can be demoted </w:t>
      </w:r>
      <w:proofErr w:type="gramStart"/>
      <w:r w:rsidRPr="00F01F5C">
        <w:rPr>
          <w:rFonts w:cs="AdvTT3713a231"/>
          <w:color w:val="131413"/>
        </w:rPr>
        <w:t>so as to</w:t>
      </w:r>
      <w:proofErr w:type="gramEnd"/>
      <w:r w:rsidRPr="00F01F5C">
        <w:rPr>
          <w:rFonts w:cs="AdvTT3713a231"/>
          <w:color w:val="131413"/>
        </w:rPr>
        <w:t xml:space="preserve"> acqui</w:t>
      </w:r>
      <w:r w:rsidR="000041B0" w:rsidRPr="00F01F5C">
        <w:rPr>
          <w:rFonts w:cs="AdvTT3713a231"/>
          <w:color w:val="131413"/>
        </w:rPr>
        <w:t xml:space="preserve">re, or even re-acquire a purely </w:t>
      </w:r>
      <w:r w:rsidRPr="00F01F5C">
        <w:rPr>
          <w:rFonts w:cs="AdvTT3713a231"/>
          <w:color w:val="131413"/>
        </w:rPr>
        <w:t>empirical function. In particular, this can happen als</w:t>
      </w:r>
      <w:r w:rsidR="000041B0" w:rsidRPr="00F01F5C">
        <w:rPr>
          <w:rFonts w:cs="AdvTT3713a231"/>
          <w:color w:val="131413"/>
        </w:rPr>
        <w:t xml:space="preserve">o because of empirical changes. </w:t>
      </w:r>
      <w:r w:rsidRPr="00F01F5C">
        <w:rPr>
          <w:rFonts w:cs="AdvTT3713a231"/>
          <w:color w:val="131413"/>
        </w:rPr>
        <w:t xml:space="preserve">This possibility is clearly illustrated by </w:t>
      </w:r>
      <w:r w:rsidRPr="00F01F5C">
        <w:rPr>
          <w:rFonts w:cs="AdvTT3713a231+20"/>
          <w:color w:val="131413"/>
        </w:rPr>
        <w:t>“</w:t>
      </w:r>
      <w:r w:rsidRPr="00F01F5C">
        <w:rPr>
          <w:rFonts w:cs="AdvTT3713a231"/>
          <w:color w:val="131413"/>
        </w:rPr>
        <w:t>Nobody has ever been on the Moon</w:t>
      </w:r>
      <w:r w:rsidRPr="00F01F5C">
        <w:rPr>
          <w:rFonts w:cs="AdvTT3713a231+20"/>
          <w:color w:val="131413"/>
        </w:rPr>
        <w:t>”</w:t>
      </w:r>
      <w:r w:rsidR="000041B0" w:rsidRPr="00F01F5C">
        <w:rPr>
          <w:rFonts w:cs="AdvTT3713a231"/>
          <w:color w:val="131413"/>
        </w:rPr>
        <w:t xml:space="preserve">, since it </w:t>
      </w:r>
      <w:r w:rsidRPr="00F01F5C">
        <w:rPr>
          <w:rFonts w:cs="AdvTT3713a231"/>
          <w:color w:val="131413"/>
        </w:rPr>
        <w:t>has been re-immersed in the flux of empirical proposi</w:t>
      </w:r>
      <w:r w:rsidR="000041B0" w:rsidRPr="00F01F5C">
        <w:rPr>
          <w:rFonts w:cs="AdvTT3713a231"/>
          <w:color w:val="131413"/>
        </w:rPr>
        <w:t xml:space="preserve">tions and has been falsified by </w:t>
      </w:r>
      <w:r w:rsidRPr="00F01F5C">
        <w:rPr>
          <w:rFonts w:cs="AdvTT3713a231"/>
          <w:color w:val="131413"/>
        </w:rPr>
        <w:t xml:space="preserve">history. </w:t>
      </w:r>
      <w:r w:rsidR="00F9416A">
        <w:rPr>
          <w:rFonts w:cs="AdvTT3713a231"/>
          <w:color w:val="131413"/>
        </w:rPr>
        <w:t xml:space="preserve">Again, the </w:t>
      </w:r>
      <w:r w:rsidR="00F9416A" w:rsidRPr="00F01F5C">
        <w:rPr>
          <w:rFonts w:cs="AdvTT3713a231"/>
          <w:color w:val="131413"/>
        </w:rPr>
        <w:t xml:space="preserve">doppelgänger </w:t>
      </w:r>
      <w:r w:rsidR="00F9416A">
        <w:rPr>
          <w:rFonts w:cs="AdvTT3713a231"/>
          <w:color w:val="131413"/>
        </w:rPr>
        <w:t xml:space="preserve">view </w:t>
      </w:r>
      <w:r w:rsidR="00F9416A">
        <w:rPr>
          <w:rFonts w:cs="AdvTT3713a231"/>
          <w:color w:val="131413"/>
        </w:rPr>
        <w:lastRenderedPageBreak/>
        <w:t xml:space="preserve">potentially obscures this point, because it would entail that, up to 1969, that sentence expressed a hinge and afterwards an empirical proposition. </w:t>
      </w:r>
      <w:r w:rsidR="00FD56D0">
        <w:rPr>
          <w:rFonts w:cs="AdvTT3713a231"/>
          <w:color w:val="131413"/>
        </w:rPr>
        <w:t>True</w:t>
      </w:r>
      <w:r w:rsidR="00F9416A">
        <w:rPr>
          <w:rFonts w:cs="AdvTT3713a231"/>
          <w:color w:val="131413"/>
        </w:rPr>
        <w:t xml:space="preserve">, the sentence would have changed its role, </w:t>
      </w:r>
      <w:r w:rsidR="00FD56D0">
        <w:rPr>
          <w:rFonts w:cs="AdvTT3713a231"/>
          <w:color w:val="131413"/>
        </w:rPr>
        <w:t xml:space="preserve">for it would express two different contents. Still, at each point in time it would express either a hinge or an empirical proposition. Hence, there wouldn’t be any change in </w:t>
      </w:r>
      <w:r w:rsidR="00FD56D0">
        <w:rPr>
          <w:rFonts w:cs="AdvTT3713a231"/>
          <w:i/>
          <w:color w:val="131413"/>
        </w:rPr>
        <w:t>function</w:t>
      </w:r>
      <w:r w:rsidR="00FD56D0">
        <w:rPr>
          <w:rFonts w:cs="AdvTT3713a231"/>
          <w:color w:val="131413"/>
        </w:rPr>
        <w:t xml:space="preserve"> pertaining to the content expressed by that sentence</w:t>
      </w:r>
      <w:r w:rsidR="00F9416A">
        <w:rPr>
          <w:rFonts w:cs="AdvTT3713a231"/>
          <w:color w:val="131413"/>
        </w:rPr>
        <w:t xml:space="preserve">. </w:t>
      </w:r>
      <w:r w:rsidRPr="00F01F5C">
        <w:rPr>
          <w:rFonts w:cs="AdvTT3713a231"/>
          <w:color w:val="131413"/>
        </w:rPr>
        <w:t>Contrary to (v), Wittgenstein</w:t>
      </w:r>
      <w:r w:rsidRPr="00F01F5C">
        <w:rPr>
          <w:rFonts w:cs="AdvTT3713a231+20"/>
          <w:color w:val="131413"/>
        </w:rPr>
        <w:t>’</w:t>
      </w:r>
      <w:r w:rsidRPr="00F01F5C">
        <w:rPr>
          <w:rFonts w:cs="AdvTT3713a231"/>
          <w:color w:val="131413"/>
        </w:rPr>
        <w:t>s hinges don</w:t>
      </w:r>
      <w:r w:rsidRPr="00F01F5C">
        <w:rPr>
          <w:rFonts w:cs="AdvTT3713a231+20"/>
          <w:color w:val="131413"/>
        </w:rPr>
        <w:t>’</w:t>
      </w:r>
      <w:r w:rsidRPr="00F01F5C">
        <w:rPr>
          <w:rFonts w:cs="AdvTT3713a231"/>
          <w:color w:val="131413"/>
        </w:rPr>
        <w:t>t p</w:t>
      </w:r>
      <w:r w:rsidR="000041B0" w:rsidRPr="00F01F5C">
        <w:rPr>
          <w:rFonts w:cs="AdvTT3713a231"/>
          <w:color w:val="131413"/>
        </w:rPr>
        <w:t xml:space="preserve">lay a supporting epistemic role </w:t>
      </w:r>
      <w:r w:rsidRPr="00F01F5C">
        <w:rPr>
          <w:rFonts w:cs="AdvTT3713a231"/>
          <w:color w:val="131413"/>
        </w:rPr>
        <w:t>with respect to what they ground, because they don</w:t>
      </w:r>
      <w:r w:rsidRPr="00F01F5C">
        <w:rPr>
          <w:rFonts w:cs="AdvTT3713a231+20"/>
          <w:color w:val="131413"/>
        </w:rPr>
        <w:t>’</w:t>
      </w:r>
      <w:r w:rsidRPr="00F01F5C">
        <w:rPr>
          <w:rFonts w:cs="AdvTT3713a231"/>
          <w:color w:val="131413"/>
        </w:rPr>
        <w:t xml:space="preserve">t </w:t>
      </w:r>
      <w:r w:rsidR="000041B0" w:rsidRPr="00F01F5C">
        <w:rPr>
          <w:rFonts w:cs="AdvTT3713a231"/>
          <w:color w:val="131413"/>
        </w:rPr>
        <w:t xml:space="preserve">have any epistemic status. They </w:t>
      </w:r>
      <w:r w:rsidRPr="00F01F5C">
        <w:rPr>
          <w:rFonts w:cs="AdvTT3713a231"/>
          <w:color w:val="131413"/>
        </w:rPr>
        <w:t xml:space="preserve">are neither known nor certain in any traditional </w:t>
      </w:r>
      <w:r w:rsidR="006301D0" w:rsidRPr="00F01F5C">
        <w:rPr>
          <w:rFonts w:cs="AdvTT3713a231"/>
          <w:color w:val="131413"/>
        </w:rPr>
        <w:t>epistemic sense. They have to stay put, and thus play a normative role,</w:t>
      </w:r>
      <w:r w:rsidR="000041B0" w:rsidRPr="00F01F5C">
        <w:rPr>
          <w:rFonts w:cs="AdvTT3713a231"/>
          <w:color w:val="131413"/>
        </w:rPr>
        <w:t xml:space="preserve"> </w:t>
      </w:r>
      <w:r w:rsidRPr="00F01F5C">
        <w:rPr>
          <w:rFonts w:cs="AdvTT3713a231"/>
          <w:color w:val="131413"/>
        </w:rPr>
        <w:t>for our epistemic practices</w:t>
      </w:r>
      <w:r w:rsidRPr="00F01F5C">
        <w:rPr>
          <w:rFonts w:cs="AdvTT3713a231+20"/>
          <w:color w:val="131413"/>
        </w:rPr>
        <w:t>—</w:t>
      </w:r>
      <w:r w:rsidRPr="00F01F5C">
        <w:rPr>
          <w:rFonts w:cs="AdvTT3713a231"/>
          <w:color w:val="131413"/>
        </w:rPr>
        <w:t xml:space="preserve">those in </w:t>
      </w:r>
      <w:r w:rsidR="000041B0" w:rsidRPr="00F01F5C">
        <w:rPr>
          <w:rFonts w:cs="AdvTT3713a231"/>
          <w:color w:val="131413"/>
        </w:rPr>
        <w:t xml:space="preserve">which we acquire justifications </w:t>
      </w:r>
      <w:r w:rsidRPr="00F01F5C">
        <w:rPr>
          <w:rFonts w:cs="AdvTT3713a231"/>
          <w:color w:val="131413"/>
        </w:rPr>
        <w:t>and knowledge</w:t>
      </w:r>
      <w:r w:rsidRPr="00F01F5C">
        <w:rPr>
          <w:rFonts w:cs="AdvTT3713a231+20"/>
          <w:color w:val="131413"/>
        </w:rPr>
        <w:t>—</w:t>
      </w:r>
      <w:r w:rsidRPr="00F01F5C">
        <w:rPr>
          <w:rFonts w:cs="AdvTT3713a231"/>
          <w:color w:val="131413"/>
        </w:rPr>
        <w:t xml:space="preserve">to be possible. </w:t>
      </w:r>
      <w:r w:rsidR="00F9416A">
        <w:rPr>
          <w:rFonts w:cs="AdvTT3713a231"/>
          <w:color w:val="131413"/>
        </w:rPr>
        <w:t xml:space="preserve">They are not an epistemic ground for the rest of our epistemic practices. Rather, they belong to the </w:t>
      </w:r>
      <w:r w:rsidR="00F9416A" w:rsidRPr="00F9416A">
        <w:rPr>
          <w:rFonts w:cs="AdvTT3713a231"/>
          <w:i/>
          <w:iCs/>
          <w:color w:val="131413"/>
        </w:rPr>
        <w:t>background</w:t>
      </w:r>
      <w:r w:rsidR="00F9416A">
        <w:rPr>
          <w:rFonts w:cs="AdvTT3713a231"/>
          <w:color w:val="131413"/>
        </w:rPr>
        <w:t xml:space="preserve"> (OC 94) against which those practices are possible. </w:t>
      </w:r>
      <w:r w:rsidRPr="00F01F5C">
        <w:rPr>
          <w:rFonts w:cs="AdvTT3713a231"/>
          <w:color w:val="131413"/>
        </w:rPr>
        <w:t>As opposed t</w:t>
      </w:r>
      <w:r w:rsidR="000041B0" w:rsidRPr="00F01F5C">
        <w:rPr>
          <w:rFonts w:cs="AdvTT3713a231"/>
          <w:color w:val="131413"/>
        </w:rPr>
        <w:t xml:space="preserve">o (vi), hinges are certain, for </w:t>
      </w:r>
      <w:r w:rsidRPr="00F01F5C">
        <w:rPr>
          <w:rFonts w:cs="AdvTT3713a231"/>
          <w:color w:val="131413"/>
        </w:rPr>
        <w:t>Wittgenstein, but not in an epistemic sense. To repeat</w:t>
      </w:r>
      <w:r w:rsidR="000041B0" w:rsidRPr="00F01F5C">
        <w:rPr>
          <w:rFonts w:cs="AdvTT3713a231"/>
          <w:color w:val="131413"/>
        </w:rPr>
        <w:t xml:space="preserve">: they are certain because </w:t>
      </w:r>
      <w:r w:rsidR="000843F1" w:rsidRPr="00F01F5C">
        <w:rPr>
          <w:rFonts w:cs="AdvTT3713a231"/>
          <w:color w:val="131413"/>
        </w:rPr>
        <w:t xml:space="preserve">they </w:t>
      </w:r>
      <w:r w:rsidRPr="00F01F5C">
        <w:rPr>
          <w:rFonts w:cs="AdvTT3713a231"/>
          <w:color w:val="131413"/>
        </w:rPr>
        <w:t>play a normative role and make our epistemic practice</w:t>
      </w:r>
      <w:r w:rsidR="006301D0" w:rsidRPr="00F01F5C">
        <w:rPr>
          <w:rFonts w:cs="AdvTT3713a231"/>
          <w:color w:val="131413"/>
        </w:rPr>
        <w:t>s possible.</w:t>
      </w:r>
      <w:r w:rsidR="00BB44FC" w:rsidRPr="00F01F5C">
        <w:rPr>
          <w:rFonts w:cs="AdvTT3713a231"/>
          <w:color w:val="131413"/>
        </w:rPr>
        <w:t xml:space="preserve"> Hence, </w:t>
      </w:r>
      <w:r w:rsidRPr="00F01F5C">
        <w:rPr>
          <w:rFonts w:cs="AdvTT3713a231"/>
          <w:color w:val="131413"/>
        </w:rPr>
        <w:t>the revolutionary force of Wittgenstein</w:t>
      </w:r>
      <w:r w:rsidRPr="00F01F5C">
        <w:rPr>
          <w:rFonts w:cs="AdvTT3713a231+20"/>
          <w:color w:val="131413"/>
        </w:rPr>
        <w:t>’</w:t>
      </w:r>
      <w:r w:rsidRPr="00F01F5C">
        <w:rPr>
          <w:rFonts w:cs="AdvTT3713a231"/>
          <w:color w:val="131413"/>
        </w:rPr>
        <w:t xml:space="preserve">s </w:t>
      </w:r>
      <w:r w:rsidR="0027334B" w:rsidRPr="00F01F5C">
        <w:rPr>
          <w:rFonts w:cs="AdvTT50a2f13e.I"/>
          <w:color w:val="131413"/>
        </w:rPr>
        <w:t>OC</w:t>
      </w:r>
      <w:r w:rsidRPr="00F01F5C">
        <w:rPr>
          <w:rFonts w:cs="AdvTT50a2f13e.I"/>
          <w:color w:val="131413"/>
        </w:rPr>
        <w:t xml:space="preserve"> </w:t>
      </w:r>
      <w:r w:rsidR="00BB44FC" w:rsidRPr="00F01F5C">
        <w:rPr>
          <w:rFonts w:cs="AdvTT3713a231"/>
          <w:color w:val="131413"/>
        </w:rPr>
        <w:t>doesn’t consist in proposing a new kind of foundationalism</w:t>
      </w:r>
      <w:r w:rsidRPr="00F01F5C">
        <w:rPr>
          <w:rFonts w:cs="AdvTT3713a231"/>
          <w:color w:val="131413"/>
        </w:rPr>
        <w:t xml:space="preserve">, </w:t>
      </w:r>
      <w:r w:rsidR="00560F21" w:rsidRPr="00F01F5C">
        <w:rPr>
          <w:rFonts w:cs="AdvTT3713a231"/>
          <w:color w:val="131413"/>
        </w:rPr>
        <w:t xml:space="preserve">despite the recurrence of foundational metaphors, </w:t>
      </w:r>
      <w:r w:rsidRPr="00F01F5C">
        <w:rPr>
          <w:rFonts w:cs="AdvTT3713a231"/>
          <w:color w:val="131413"/>
        </w:rPr>
        <w:t xml:space="preserve">precisely because </w:t>
      </w:r>
      <w:r w:rsidR="00BB44FC" w:rsidRPr="00F01F5C">
        <w:rPr>
          <w:rFonts w:cs="AdvTT3713a231"/>
          <w:color w:val="131413"/>
        </w:rPr>
        <w:t>none of</w:t>
      </w:r>
      <w:r w:rsidR="000843F1" w:rsidRPr="00F01F5C">
        <w:rPr>
          <w:rFonts w:cs="AdvTT3713a231"/>
          <w:color w:val="131413"/>
        </w:rPr>
        <w:t xml:space="preserve"> the main tenets of </w:t>
      </w:r>
      <w:r w:rsidRPr="00F01F5C">
        <w:rPr>
          <w:rFonts w:cs="AdvTT3713a231"/>
          <w:color w:val="131413"/>
        </w:rPr>
        <w:t>that philosophical doctrine</w:t>
      </w:r>
      <w:r w:rsidR="00BB44FC" w:rsidRPr="00F01F5C">
        <w:rPr>
          <w:rFonts w:cs="AdvTT3713a231"/>
          <w:color w:val="131413"/>
        </w:rPr>
        <w:t xml:space="preserve"> was preserved in it</w:t>
      </w:r>
      <w:r w:rsidRPr="00F01F5C">
        <w:rPr>
          <w:rFonts w:cs="AdvTT3713a231"/>
          <w:color w:val="131413"/>
        </w:rPr>
        <w:t xml:space="preserve">. </w:t>
      </w:r>
      <w:r w:rsidR="00BB44FC" w:rsidRPr="00F01F5C">
        <w:rPr>
          <w:rFonts w:cs="AdvTT3713a231"/>
          <w:color w:val="131413"/>
        </w:rPr>
        <w:t>Rather, I take it, the revolutionary force of OC lies in the fact that Wittgenstein reali</w:t>
      </w:r>
      <w:r w:rsidR="00560F21" w:rsidRPr="00F01F5C">
        <w:rPr>
          <w:rFonts w:cs="AdvTT3713a231"/>
          <w:color w:val="131413"/>
        </w:rPr>
        <w:t>zed that there are propositions, which</w:t>
      </w:r>
      <w:r w:rsidR="00BB44FC" w:rsidRPr="00F01F5C">
        <w:rPr>
          <w:rFonts w:cs="AdvTT3713a231"/>
          <w:color w:val="131413"/>
        </w:rPr>
        <w:t xml:space="preserve"> are </w:t>
      </w:r>
      <w:r w:rsidR="00560F21" w:rsidRPr="00F01F5C">
        <w:rPr>
          <w:rFonts w:cs="AdvTT3713a231"/>
          <w:color w:val="131413"/>
        </w:rPr>
        <w:t xml:space="preserve">neither about </w:t>
      </w:r>
      <w:proofErr w:type="spellStart"/>
      <w:r w:rsidR="00560F21" w:rsidRPr="00F01F5C">
        <w:rPr>
          <w:rFonts w:cs="AdvTT3713a231"/>
          <w:color w:val="131413"/>
        </w:rPr>
        <w:t>maths</w:t>
      </w:r>
      <w:proofErr w:type="spellEnd"/>
      <w:r w:rsidR="00560F21" w:rsidRPr="00F01F5C">
        <w:rPr>
          <w:rFonts w:cs="AdvTT3713a231"/>
          <w:color w:val="131413"/>
        </w:rPr>
        <w:t xml:space="preserve"> or logic</w:t>
      </w:r>
      <w:r w:rsidR="00BB44FC" w:rsidRPr="00F01F5C">
        <w:rPr>
          <w:rFonts w:cs="AdvTT3713a231"/>
          <w:color w:val="131413"/>
        </w:rPr>
        <w:t xml:space="preserve"> nor derived a priori</w:t>
      </w:r>
      <w:r w:rsidR="00560F21" w:rsidRPr="00F01F5C">
        <w:rPr>
          <w:rFonts w:cs="AdvTT3713a231"/>
          <w:color w:val="131413"/>
        </w:rPr>
        <w:t>,</w:t>
      </w:r>
      <w:r w:rsidR="00BB44FC" w:rsidRPr="00F01F5C">
        <w:rPr>
          <w:rFonts w:cs="AdvTT3713a231"/>
          <w:color w:val="131413"/>
        </w:rPr>
        <w:t xml:space="preserve"> that play a normative role with respect to our epistemic practices and can’t therefore be meaningfully doubted.</w:t>
      </w:r>
    </w:p>
    <w:p w:rsidR="00BB44FC" w:rsidRPr="00F01F5C" w:rsidRDefault="00BB44FC" w:rsidP="004C6263">
      <w:pPr>
        <w:spacing w:line="480" w:lineRule="auto"/>
        <w:jc w:val="both"/>
        <w:rPr>
          <w:rFonts w:cs="AdvTT3713a231"/>
          <w:color w:val="131413"/>
        </w:rPr>
      </w:pPr>
    </w:p>
    <w:p w:rsidR="00AD19CC" w:rsidRPr="00F01F5C" w:rsidRDefault="0045495A" w:rsidP="004C6263">
      <w:pPr>
        <w:spacing w:line="480" w:lineRule="auto"/>
        <w:jc w:val="both"/>
        <w:rPr>
          <w:b/>
        </w:rPr>
      </w:pPr>
      <w:r w:rsidRPr="00F01F5C">
        <w:rPr>
          <w:b/>
        </w:rPr>
        <w:t>3</w:t>
      </w:r>
      <w:r w:rsidR="007D0E11" w:rsidRPr="00F01F5C">
        <w:rPr>
          <w:b/>
        </w:rPr>
        <w:t xml:space="preserve">. Pritchard’s </w:t>
      </w:r>
      <w:proofErr w:type="spellStart"/>
      <w:r w:rsidR="007D0E11" w:rsidRPr="00F01F5C">
        <w:rPr>
          <w:b/>
        </w:rPr>
        <w:t>bioscopic</w:t>
      </w:r>
      <w:proofErr w:type="spellEnd"/>
      <w:r w:rsidR="007D0E11" w:rsidRPr="00F01F5C">
        <w:rPr>
          <w:b/>
        </w:rPr>
        <w:t xml:space="preserve"> hinge epistemology</w:t>
      </w:r>
    </w:p>
    <w:p w:rsidR="001916A0" w:rsidRPr="00F01F5C" w:rsidRDefault="009115B0" w:rsidP="004C6263">
      <w:pPr>
        <w:autoSpaceDE w:val="0"/>
        <w:autoSpaceDN w:val="0"/>
        <w:adjustRightInd w:val="0"/>
        <w:spacing w:after="0" w:line="480" w:lineRule="auto"/>
        <w:jc w:val="both"/>
        <w:rPr>
          <w:rFonts w:cs="AdvTT3713a231"/>
          <w:color w:val="131413"/>
        </w:rPr>
      </w:pPr>
      <w:r w:rsidRPr="00F01F5C">
        <w:t xml:space="preserve">Duncan Pritchard’s </w:t>
      </w:r>
      <w:r w:rsidR="00F9416A">
        <w:t xml:space="preserve">(2016) </w:t>
      </w:r>
      <w:r w:rsidRPr="00F01F5C">
        <w:t xml:space="preserve">version of </w:t>
      </w:r>
      <w:r w:rsidR="001916A0" w:rsidRPr="00F01F5C">
        <w:t>HE</w:t>
      </w:r>
      <w:r w:rsidRPr="00F01F5C">
        <w:t xml:space="preserve"> does not primarily aim at exegetical accuracy but at philosophical fruitfulness. Accordingly, I will focus mostly on </w:t>
      </w:r>
      <w:r w:rsidR="00F9416A">
        <w:t>this aspect of the proposal, with only occasional forays into exegetical issues</w:t>
      </w:r>
      <w:r w:rsidRPr="00F01F5C">
        <w:t>.</w:t>
      </w:r>
    </w:p>
    <w:p w:rsidR="001916A0" w:rsidRPr="00F01F5C" w:rsidRDefault="009115B0" w:rsidP="004C6263">
      <w:pPr>
        <w:autoSpaceDE w:val="0"/>
        <w:autoSpaceDN w:val="0"/>
        <w:adjustRightInd w:val="0"/>
        <w:spacing w:after="0" w:line="480" w:lineRule="auto"/>
        <w:ind w:firstLine="720"/>
        <w:jc w:val="both"/>
        <w:rPr>
          <w:rFonts w:cs="AdvTT3713a231"/>
          <w:color w:val="131413"/>
        </w:rPr>
      </w:pPr>
      <w:r w:rsidRPr="00F01F5C">
        <w:t xml:space="preserve">A terminological remark is apposite here and useful in order to introduce Pritchard’s proposal. </w:t>
      </w:r>
      <w:r w:rsidR="00ED6835" w:rsidRPr="00F01F5C">
        <w:t>Why</w:t>
      </w:r>
      <w:r w:rsidRPr="00F01F5C">
        <w:t xml:space="preserve"> “</w:t>
      </w:r>
      <w:proofErr w:type="spellStart"/>
      <w:r w:rsidRPr="00F01F5C">
        <w:t>bioscopic</w:t>
      </w:r>
      <w:proofErr w:type="spellEnd"/>
      <w:r w:rsidRPr="00F01F5C">
        <w:t>”? This term is meant to indicate the fact that a complete answer to skepticism</w:t>
      </w:r>
      <w:r w:rsidR="00367ACC" w:rsidRPr="00F01F5C">
        <w:t>, according to Pritchard,</w:t>
      </w:r>
      <w:r w:rsidRPr="00F01F5C">
        <w:t xml:space="preserve"> </w:t>
      </w:r>
      <w:r w:rsidRPr="00F01F5C">
        <w:lastRenderedPageBreak/>
        <w:t xml:space="preserve">needs to advert to two different strategies which are not normally considered even to </w:t>
      </w:r>
      <w:r w:rsidR="00883554" w:rsidRPr="00F01F5C">
        <w:t>be compatible with one another—t</w:t>
      </w:r>
      <w:r w:rsidRPr="00F01F5C">
        <w:t xml:space="preserve">hat is, Wittgenstein’s inspired </w:t>
      </w:r>
      <w:r w:rsidR="001916A0" w:rsidRPr="00F01F5C">
        <w:t>HE</w:t>
      </w:r>
      <w:r w:rsidRPr="00F01F5C">
        <w:t xml:space="preserve"> and epistemological </w:t>
      </w:r>
      <w:proofErr w:type="spellStart"/>
      <w:r w:rsidRPr="00F01F5C">
        <w:t>disjunctivism</w:t>
      </w:r>
      <w:proofErr w:type="spellEnd"/>
      <w:r w:rsidRPr="00F01F5C">
        <w:t>.</w:t>
      </w:r>
      <w:r w:rsidR="001916A0" w:rsidRPr="00F01F5C">
        <w:rPr>
          <w:rFonts w:cs="AdvTT3713a231"/>
          <w:color w:val="131413"/>
        </w:rPr>
        <w:t xml:space="preserve"> </w:t>
      </w:r>
    </w:p>
    <w:p w:rsidR="001916A0" w:rsidRPr="00F01F5C" w:rsidRDefault="009115B0" w:rsidP="004C6263">
      <w:pPr>
        <w:autoSpaceDE w:val="0"/>
        <w:autoSpaceDN w:val="0"/>
        <w:adjustRightInd w:val="0"/>
        <w:spacing w:after="0" w:line="480" w:lineRule="auto"/>
        <w:ind w:firstLine="720"/>
        <w:jc w:val="both"/>
        <w:rPr>
          <w:rFonts w:cs="AdvTT3713a231"/>
          <w:color w:val="131413"/>
        </w:rPr>
      </w:pPr>
      <w:r w:rsidRPr="00F01F5C">
        <w:t xml:space="preserve">According to Pritchard, the former allows us to dispense with Cartesian, or Closure-based, skepticism, by insisting on the locality of reasons. </w:t>
      </w:r>
      <w:r w:rsidR="00367ACC" w:rsidRPr="00F01F5C">
        <w:t xml:space="preserve">More specifically, </w:t>
      </w:r>
      <w:r w:rsidR="00ED6835" w:rsidRPr="00F01F5C">
        <w:t>Cartesian skeptical scenarios are meant to raise the possibility that we may be massively mistaken, in ways which would be undetectable to us. Through a Closure-based argument, then, the conclusion is reached that we cannot even know ordinary empirical propositions, such as “Here is a hand”.</w:t>
      </w:r>
      <w:r w:rsidR="006015AC" w:rsidRPr="00F01F5C">
        <w:rPr>
          <w:rStyle w:val="FootnoteReference"/>
        </w:rPr>
        <w:footnoteReference w:id="10"/>
      </w:r>
      <w:r w:rsidR="00ED6835" w:rsidRPr="00F01F5C">
        <w:t xml:space="preserve"> A</w:t>
      </w:r>
      <w:r w:rsidR="00883554" w:rsidRPr="00F01F5C">
        <w:t xml:space="preserve">ccording to Pritchard, </w:t>
      </w:r>
      <w:r w:rsidR="00ED6835" w:rsidRPr="00F01F5C">
        <w:t xml:space="preserve">however, the gist of OC is that </w:t>
      </w:r>
      <w:r w:rsidR="00883554" w:rsidRPr="00F01F5C">
        <w:t xml:space="preserve">we have a über-hinge commitment </w:t>
      </w:r>
      <w:r w:rsidR="00ED6835" w:rsidRPr="00F01F5C">
        <w:t>to</w:t>
      </w:r>
      <w:r w:rsidR="00883554" w:rsidRPr="00F01F5C">
        <w:t xml:space="preserve"> not </w:t>
      </w:r>
      <w:r w:rsidR="00ED6835" w:rsidRPr="00F01F5C">
        <w:t xml:space="preserve">being </w:t>
      </w:r>
      <w:r w:rsidR="00883554" w:rsidRPr="00F01F5C">
        <w:t xml:space="preserve">massively mistaken, </w:t>
      </w:r>
      <w:r w:rsidR="006152DE" w:rsidRPr="00F01F5C">
        <w:t xml:space="preserve">which is </w:t>
      </w:r>
      <w:r w:rsidR="00883554" w:rsidRPr="00F01F5C">
        <w:t xml:space="preserve">variously encoded in more specific commitments, such as that we are not BIVs, that there is an external world, etc. </w:t>
      </w:r>
      <w:r w:rsidR="00ED6835" w:rsidRPr="00F01F5C">
        <w:t xml:space="preserve">Such commitments are not </w:t>
      </w:r>
      <w:r w:rsidR="001123D3">
        <w:t xml:space="preserve">evidentially </w:t>
      </w:r>
      <w:proofErr w:type="gramStart"/>
      <w:r w:rsidR="001123D3">
        <w:t>supported ,</w:t>
      </w:r>
      <w:proofErr w:type="gramEnd"/>
      <w:r w:rsidR="001123D3">
        <w:t xml:space="preserve"> or, as Pritchard puts it, knowledge-apt (k-apt) </w:t>
      </w:r>
      <w:r w:rsidR="00ED6835" w:rsidRPr="00F01F5C">
        <w:t>beliefs</w:t>
      </w:r>
      <w:r w:rsidR="001123D3">
        <w:t>,</w:t>
      </w:r>
      <w:r w:rsidR="00ED6835" w:rsidRPr="00F01F5C">
        <w:t xml:space="preserve"> and are not in the business </w:t>
      </w:r>
      <w:r w:rsidR="001123D3">
        <w:t>for</w:t>
      </w:r>
      <w:r w:rsidR="001123D3" w:rsidRPr="00F01F5C">
        <w:t xml:space="preserve"> </w:t>
      </w:r>
      <w:r w:rsidR="00ED6835" w:rsidRPr="00F01F5C">
        <w:t xml:space="preserve">rational evaluation. For that reason, they don’t fall within the scope of Closure-based arguments, which presuppose the possibility of embedding contents into </w:t>
      </w:r>
      <w:r w:rsidR="006015AC" w:rsidRPr="00F01F5C">
        <w:t>a knowledge operator</w:t>
      </w:r>
      <w:r w:rsidR="00ED6835" w:rsidRPr="00F01F5C">
        <w:t>, which in turn entail</w:t>
      </w:r>
      <w:r w:rsidR="006015AC" w:rsidRPr="00F01F5C">
        <w:t>s</w:t>
      </w:r>
      <w:r w:rsidR="00ED6835" w:rsidRPr="00F01F5C">
        <w:t xml:space="preserve"> </w:t>
      </w:r>
      <w:r w:rsidR="006015AC" w:rsidRPr="00F01F5C">
        <w:t xml:space="preserve">rationally evaluable </w:t>
      </w:r>
      <w:r w:rsidR="00ED6835" w:rsidRPr="00F01F5C">
        <w:t xml:space="preserve">belief. If so, </w:t>
      </w:r>
      <w:r w:rsidR="006015AC" w:rsidRPr="00F01F5C">
        <w:t>HE block</w:t>
      </w:r>
      <w:r w:rsidR="00F9416A">
        <w:t>s</w:t>
      </w:r>
      <w:r w:rsidR="006015AC" w:rsidRPr="00F01F5C">
        <w:t xml:space="preserve"> Closure-based skepticism.</w:t>
      </w:r>
      <w:r w:rsidR="00ED6835" w:rsidRPr="00F01F5C">
        <w:t xml:space="preserve"> </w:t>
      </w:r>
      <w:r w:rsidR="00883554" w:rsidRPr="00F01F5C">
        <w:t xml:space="preserve">I will return to </w:t>
      </w:r>
      <w:r w:rsidR="00ED6835" w:rsidRPr="00F01F5C">
        <w:t>the details of this first part of Pritchard’s two-pronged strategy</w:t>
      </w:r>
      <w:r w:rsidR="00883554" w:rsidRPr="00F01F5C">
        <w:t xml:space="preserve"> in the following.</w:t>
      </w:r>
      <w:r w:rsidR="001916A0" w:rsidRPr="00F01F5C">
        <w:rPr>
          <w:rFonts w:cs="AdvTT3713a231"/>
          <w:color w:val="131413"/>
        </w:rPr>
        <w:t xml:space="preserve"> </w:t>
      </w:r>
    </w:p>
    <w:p w:rsidR="006015AC" w:rsidRPr="00F01F5C" w:rsidRDefault="00ED6835" w:rsidP="004C6263">
      <w:pPr>
        <w:autoSpaceDE w:val="0"/>
        <w:autoSpaceDN w:val="0"/>
        <w:adjustRightInd w:val="0"/>
        <w:spacing w:after="0" w:line="480" w:lineRule="auto"/>
        <w:ind w:firstLine="720"/>
        <w:jc w:val="both"/>
        <w:rPr>
          <w:rFonts w:cs="AdvTT3713a231"/>
          <w:color w:val="131413"/>
        </w:rPr>
      </w:pPr>
      <w:r w:rsidRPr="00F01F5C">
        <w:t>What is relevant at this point is that</w:t>
      </w:r>
      <w:r w:rsidR="00883554" w:rsidRPr="00F01F5C">
        <w:t xml:space="preserve">, </w:t>
      </w:r>
      <w:r w:rsidRPr="00F01F5C">
        <w:t>for Pritchard,</w:t>
      </w:r>
      <w:r w:rsidR="00883554" w:rsidRPr="00F01F5C">
        <w:t xml:space="preserve"> </w:t>
      </w:r>
      <w:r w:rsidR="001916A0" w:rsidRPr="00F01F5C">
        <w:t>HE</w:t>
      </w:r>
      <w:r w:rsidR="00883554" w:rsidRPr="00F01F5C">
        <w:t xml:space="preserve"> </w:t>
      </w:r>
      <w:r w:rsidRPr="00F01F5C">
        <w:t>needs to</w:t>
      </w:r>
      <w:r w:rsidR="00883554" w:rsidRPr="00F01F5C">
        <w:t xml:space="preserve"> be combined wit</w:t>
      </w:r>
      <w:r w:rsidRPr="00F01F5C">
        <w:t xml:space="preserve">h epistemological </w:t>
      </w:r>
      <w:proofErr w:type="spellStart"/>
      <w:r w:rsidRPr="00F01F5C">
        <w:t>disjunctivism</w:t>
      </w:r>
      <w:proofErr w:type="spellEnd"/>
      <w:r w:rsidRPr="00F01F5C">
        <w:t xml:space="preserve">. </w:t>
      </w:r>
      <w:r w:rsidR="006015AC" w:rsidRPr="00F01F5C">
        <w:t xml:space="preserve">For once the locality of reasons is established, we need to respond to Underdetermination-based skepticism, whereby the evidence at one’s disposal would be the same as the one we would have if we were hallucinating a </w:t>
      </w:r>
      <w:proofErr w:type="gramStart"/>
      <w:r w:rsidR="006015AC" w:rsidRPr="00F01F5C">
        <w:t>hand, and</w:t>
      </w:r>
      <w:proofErr w:type="gramEnd"/>
      <w:r w:rsidR="006015AC" w:rsidRPr="00F01F5C">
        <w:t xml:space="preserve"> would thus fail to be knowledge-entailing. </w:t>
      </w:r>
      <w:proofErr w:type="spellStart"/>
      <w:r w:rsidR="006015AC" w:rsidRPr="00F01F5C">
        <w:t>Disjunctivism</w:t>
      </w:r>
      <w:proofErr w:type="spellEnd"/>
      <w:r w:rsidR="006015AC" w:rsidRPr="00F01F5C">
        <w:t xml:space="preserve"> allows us to do so, by providing us with </w:t>
      </w:r>
      <w:proofErr w:type="spellStart"/>
      <w:r w:rsidR="006015AC" w:rsidRPr="00F01F5C">
        <w:t>factive</w:t>
      </w:r>
      <w:proofErr w:type="spellEnd"/>
      <w:r w:rsidR="006015AC" w:rsidRPr="00F01F5C">
        <w:t xml:space="preserve"> reasons for our perceptual beliefs. For, according to </w:t>
      </w:r>
      <w:proofErr w:type="spellStart"/>
      <w:r w:rsidR="006015AC" w:rsidRPr="00F01F5C">
        <w:t>disjunctivism</w:t>
      </w:r>
      <w:proofErr w:type="spellEnd"/>
      <w:r w:rsidR="006015AC" w:rsidRPr="00F01F5C">
        <w:t xml:space="preserve">, perception reaches all the way down to the world and allows us to know, for instance, that there is a hand here, based on seeing it. Thus, perception does not leave us at the mercy of Underdetermination-based skepticism, and allows us to redeem the idea that we know that there is a hand here </w:t>
      </w:r>
      <w:r w:rsidR="006015AC" w:rsidRPr="00F01F5C">
        <w:rPr>
          <w:i/>
        </w:rPr>
        <w:t>because we see it</w:t>
      </w:r>
      <w:r w:rsidR="006015AC" w:rsidRPr="00F01F5C">
        <w:t xml:space="preserve">. </w:t>
      </w:r>
    </w:p>
    <w:p w:rsidR="00D909C8" w:rsidRPr="00F01F5C" w:rsidRDefault="00085CBF" w:rsidP="004C6263">
      <w:pPr>
        <w:autoSpaceDE w:val="0"/>
        <w:autoSpaceDN w:val="0"/>
        <w:adjustRightInd w:val="0"/>
        <w:spacing w:after="0" w:line="480" w:lineRule="auto"/>
        <w:ind w:firstLine="720"/>
        <w:jc w:val="both"/>
        <w:rPr>
          <w:rFonts w:cs="AdvTT3713a231"/>
          <w:color w:val="131413"/>
        </w:rPr>
      </w:pPr>
      <w:r w:rsidRPr="00F01F5C">
        <w:lastRenderedPageBreak/>
        <w:t xml:space="preserve">Of course, </w:t>
      </w:r>
      <w:proofErr w:type="spellStart"/>
      <w:r w:rsidRPr="00F01F5C">
        <w:t>disjunctivism</w:t>
      </w:r>
      <w:proofErr w:type="spellEnd"/>
      <w:r w:rsidRPr="00F01F5C">
        <w:t xml:space="preserve"> is impotent with respect to global skeptical hypotheses of a Cartesian kind. For we cannot tell, just based on our experience, that we are not BIVs, since everything would, </w:t>
      </w:r>
      <w:r w:rsidRPr="00F01F5C">
        <w:rPr>
          <w:i/>
        </w:rPr>
        <w:t>ex hypothesis</w:t>
      </w:r>
      <w:r w:rsidRPr="00F01F5C">
        <w:t xml:space="preserve">, look identical to us. That is why </w:t>
      </w:r>
      <w:proofErr w:type="spellStart"/>
      <w:r w:rsidRPr="00F01F5C">
        <w:t>disjunctivism</w:t>
      </w:r>
      <w:proofErr w:type="spellEnd"/>
      <w:r w:rsidRPr="00F01F5C">
        <w:t xml:space="preserve"> needs </w:t>
      </w:r>
      <w:r w:rsidR="001916A0" w:rsidRPr="00F01F5C">
        <w:t>HE</w:t>
      </w:r>
      <w:r w:rsidRPr="00F01F5C">
        <w:t xml:space="preserve">. For the latter dismantles Cartesian </w:t>
      </w:r>
      <w:r w:rsidR="00FD56D0">
        <w:t>skepticism</w:t>
      </w:r>
      <w:r w:rsidRPr="00F01F5C">
        <w:t>, by reminding us that “I am not a BIV” is not an ordinary belief, which is open to doubt, verification and control, but is rather a commitment of ours—it is, in fact</w:t>
      </w:r>
      <w:r w:rsidR="00BC3BEB" w:rsidRPr="00F01F5C">
        <w:t>,</w:t>
      </w:r>
      <w:r w:rsidRPr="00F01F5C">
        <w:t xml:space="preserve"> a possible expression of our über-hinge commitment that we cannot possibly be massively mistaken.</w:t>
      </w:r>
      <w:r w:rsidR="00BC3BEB" w:rsidRPr="00F01F5C">
        <w:t xml:space="preserve"> Yet, </w:t>
      </w:r>
      <w:r w:rsidR="001916A0" w:rsidRPr="00F01F5C">
        <w:t>HE</w:t>
      </w:r>
      <w:r w:rsidR="00BC3BEB" w:rsidRPr="00F01F5C">
        <w:t xml:space="preserve"> needs </w:t>
      </w:r>
      <w:proofErr w:type="spellStart"/>
      <w:r w:rsidR="00BC3BEB" w:rsidRPr="00F01F5C">
        <w:t>disjunctivism</w:t>
      </w:r>
      <w:proofErr w:type="spellEnd"/>
      <w:r w:rsidR="00BC3BEB" w:rsidRPr="00F01F5C">
        <w:t xml:space="preserve">, according to Pritchard, because </w:t>
      </w:r>
      <w:r w:rsidR="00D909C8" w:rsidRPr="00F01F5C">
        <w:t xml:space="preserve">HE cannot take care of Underdetermination-based skepticism. </w:t>
      </w:r>
      <w:r w:rsidR="00BC3BEB" w:rsidRPr="00F01F5C">
        <w:t xml:space="preserve">Thus, only taken together can </w:t>
      </w:r>
      <w:r w:rsidR="001916A0" w:rsidRPr="00F01F5C">
        <w:t>HE</w:t>
      </w:r>
      <w:r w:rsidR="00BC3BEB" w:rsidRPr="00F01F5C">
        <w:t xml:space="preserve"> and </w:t>
      </w:r>
      <w:proofErr w:type="spellStart"/>
      <w:r w:rsidR="00BC3BEB" w:rsidRPr="00F01F5C">
        <w:t>disjunctivism</w:t>
      </w:r>
      <w:proofErr w:type="spellEnd"/>
      <w:r w:rsidR="00BC3BEB" w:rsidRPr="00F01F5C">
        <w:t xml:space="preserve"> provide a comprehensive response to skepticism.</w:t>
      </w:r>
    </w:p>
    <w:p w:rsidR="00DD45A9" w:rsidRPr="00F01F5C" w:rsidRDefault="00D909C8" w:rsidP="004C6263">
      <w:pPr>
        <w:autoSpaceDE w:val="0"/>
        <w:autoSpaceDN w:val="0"/>
        <w:adjustRightInd w:val="0"/>
        <w:spacing w:after="0" w:line="480" w:lineRule="auto"/>
        <w:ind w:firstLine="720"/>
        <w:jc w:val="both"/>
        <w:rPr>
          <w:rFonts w:cs="AdvTT3713a231"/>
          <w:color w:val="131413"/>
        </w:rPr>
      </w:pPr>
      <w:r w:rsidRPr="00F01F5C">
        <w:rPr>
          <w:rFonts w:cs="AdvTT3713a231"/>
          <w:color w:val="131413"/>
        </w:rPr>
        <w:t xml:space="preserve">But does HE really need </w:t>
      </w:r>
      <w:proofErr w:type="spellStart"/>
      <w:r w:rsidRPr="00F01F5C">
        <w:rPr>
          <w:rFonts w:cs="AdvTT3713a231"/>
          <w:color w:val="131413"/>
        </w:rPr>
        <w:t>disjunc</w:t>
      </w:r>
      <w:r w:rsidR="009A0DBB" w:rsidRPr="00F01F5C">
        <w:rPr>
          <w:rFonts w:cs="AdvTT3713a231"/>
          <w:color w:val="131413"/>
        </w:rPr>
        <w:t>tivism</w:t>
      </w:r>
      <w:proofErr w:type="spellEnd"/>
      <w:r w:rsidR="009A0DBB" w:rsidRPr="00F01F5C">
        <w:rPr>
          <w:rFonts w:cs="AdvTT3713a231"/>
          <w:color w:val="131413"/>
        </w:rPr>
        <w:t xml:space="preserve"> in order to overcome Underdetermination-based skepticism?</w:t>
      </w:r>
      <w:r w:rsidR="009A0DBB" w:rsidRPr="00F01F5C">
        <w:rPr>
          <w:rStyle w:val="FootnoteReference"/>
          <w:rFonts w:cs="AdvTT3713a231"/>
          <w:color w:val="131413"/>
        </w:rPr>
        <w:footnoteReference w:id="11"/>
      </w:r>
      <w:r w:rsidR="000D0E78" w:rsidRPr="00F01F5C">
        <w:rPr>
          <w:rFonts w:cs="AdvTT3713a231"/>
          <w:color w:val="131413"/>
        </w:rPr>
        <w:t xml:space="preserve"> </w:t>
      </w:r>
      <w:r w:rsidR="009A0DBB" w:rsidRPr="00F01F5C">
        <w:t>In my own work on HE,</w:t>
      </w:r>
      <w:r w:rsidR="009A0DBB" w:rsidRPr="00F01F5C">
        <w:rPr>
          <w:rStyle w:val="FootnoteReference"/>
        </w:rPr>
        <w:footnoteReference w:id="12"/>
      </w:r>
      <w:r w:rsidR="009A0DBB" w:rsidRPr="00F01F5C">
        <w:t xml:space="preserve"> I have provided reasons to think that this is not the case. </w:t>
      </w:r>
      <w:r w:rsidR="00F47E6A" w:rsidRPr="00F01F5C">
        <w:t>Key to my proposal is the</w:t>
      </w:r>
      <w:r w:rsidR="009A0DBB" w:rsidRPr="00F01F5C">
        <w:t xml:space="preserve"> moderate account of perceptual justification, according to which once the assumption that there is an external world is in place (together with possibly other ones, such as “</w:t>
      </w:r>
      <w:r w:rsidR="00DD45A9" w:rsidRPr="00F01F5C">
        <w:t>My senses are mostly reliable</w:t>
      </w:r>
      <w:r w:rsidR="009A0DBB" w:rsidRPr="00F01F5C">
        <w:t>”</w:t>
      </w:r>
      <w:r w:rsidR="00DD45A9" w:rsidRPr="00F01F5C">
        <w:t>, “I am not a BIV”, etc.</w:t>
      </w:r>
      <w:r w:rsidR="009A0DBB" w:rsidRPr="00F01F5C">
        <w:t>) we can take our perceptual experience at face value to corroborate the truth of, for instance, the belief that there is my hand here.</w:t>
      </w:r>
      <w:r w:rsidR="006152DE" w:rsidRPr="00F01F5C">
        <w:t xml:space="preserve"> Without that assumption, the experience would </w:t>
      </w:r>
      <w:proofErr w:type="gramStart"/>
      <w:r w:rsidR="006152DE" w:rsidRPr="00F01F5C">
        <w:t>actually also</w:t>
      </w:r>
      <w:proofErr w:type="gramEnd"/>
      <w:r w:rsidR="006152DE" w:rsidRPr="00F01F5C">
        <w:t xml:space="preserve"> </w:t>
      </w:r>
      <w:r w:rsidR="001123D3">
        <w:t xml:space="preserve">equally </w:t>
      </w:r>
      <w:r w:rsidR="006152DE" w:rsidRPr="00F01F5C">
        <w:t>corroborate the truth of “I am a BIV having a hand-like experience”. Hence, that assumption is needed to favor “Here is my hand” over “I am a BIV having a hand-like experience”.</w:t>
      </w:r>
      <w:r w:rsidR="00F47E6A" w:rsidRPr="00F01F5C">
        <w:rPr>
          <w:rStyle w:val="FootnoteReference"/>
        </w:rPr>
        <w:footnoteReference w:id="13"/>
      </w:r>
      <w:r w:rsidR="009A0DBB" w:rsidRPr="00F01F5C">
        <w:t xml:space="preserve"> </w:t>
      </w:r>
      <w:r w:rsidR="000D0E78" w:rsidRPr="00F01F5C">
        <w:t>T</w:t>
      </w:r>
      <w:r w:rsidR="009A0DBB" w:rsidRPr="00F01F5C">
        <w:t xml:space="preserve">hanks to our perception and </w:t>
      </w:r>
      <w:r w:rsidR="000D0E78" w:rsidRPr="00F01F5C">
        <w:t>the relevant</w:t>
      </w:r>
      <w:r w:rsidR="009A0DBB" w:rsidRPr="00F01F5C">
        <w:t xml:space="preserve"> hinge assumptions</w:t>
      </w:r>
      <w:r w:rsidR="000D0E78" w:rsidRPr="00F01F5C">
        <w:t>, we then have perceptual justifications for such a belief</w:t>
      </w:r>
      <w:r w:rsidR="009A0DBB" w:rsidRPr="00F01F5C">
        <w:t xml:space="preserve">. </w:t>
      </w:r>
      <w:r w:rsidR="00DD45A9" w:rsidRPr="00F01F5C">
        <w:t xml:space="preserve">That is, thanks to the </w:t>
      </w:r>
      <w:r w:rsidR="000D0E78" w:rsidRPr="00F01F5C">
        <w:t>former</w:t>
      </w:r>
      <w:r w:rsidR="00DD45A9" w:rsidRPr="00F01F5C">
        <w:t xml:space="preserve"> we can take our perceptions </w:t>
      </w:r>
      <w:r w:rsidR="00DD45A9" w:rsidRPr="00F01F5C">
        <w:lastRenderedPageBreak/>
        <w:t xml:space="preserve">at face value to favor the truth of the corresponding empirical beliefs. </w:t>
      </w:r>
      <w:r w:rsidR="006152DE" w:rsidRPr="00F01F5C">
        <w:t xml:space="preserve">Thus, moderatism too allows us to vindicate the legitimacy of responding to “How do you know that there is a hand here?” by saying “Because I see it”. </w:t>
      </w:r>
      <w:r w:rsidR="00DD45A9" w:rsidRPr="00F01F5C">
        <w:t xml:space="preserve">In short, invoking </w:t>
      </w:r>
      <w:proofErr w:type="spellStart"/>
      <w:r w:rsidR="00DD45A9" w:rsidRPr="00F01F5C">
        <w:t>disjunctivism</w:t>
      </w:r>
      <w:proofErr w:type="spellEnd"/>
      <w:r w:rsidR="00DD45A9" w:rsidRPr="00F01F5C">
        <w:t xml:space="preserve"> seems to me an over-reaction, for other, less costly solutions to Underdetermination-based skepticism are possible.</w:t>
      </w:r>
      <w:r w:rsidR="00DD45A9" w:rsidRPr="00F01F5C">
        <w:rPr>
          <w:rFonts w:cs="AdvTT3713a231"/>
          <w:color w:val="131413"/>
        </w:rPr>
        <w:t xml:space="preserve"> </w:t>
      </w:r>
    </w:p>
    <w:p w:rsidR="00995CA7" w:rsidRPr="00F01F5C" w:rsidRDefault="00DD45A9" w:rsidP="004C6263">
      <w:pPr>
        <w:autoSpaceDE w:val="0"/>
        <w:autoSpaceDN w:val="0"/>
        <w:adjustRightInd w:val="0"/>
        <w:spacing w:after="0" w:line="480" w:lineRule="auto"/>
        <w:ind w:firstLine="720"/>
        <w:jc w:val="both"/>
        <w:rPr>
          <w:rFonts w:cs="AdvTT3713a231"/>
          <w:color w:val="131413"/>
        </w:rPr>
      </w:pPr>
      <w:r w:rsidRPr="00F01F5C">
        <w:t xml:space="preserve">Let me insist that </w:t>
      </w:r>
      <w:proofErr w:type="spellStart"/>
      <w:r w:rsidRPr="00F01F5C">
        <w:t>disjunctivism</w:t>
      </w:r>
      <w:proofErr w:type="spellEnd"/>
      <w:r w:rsidRPr="00F01F5C">
        <w:t xml:space="preserve"> should </w:t>
      </w:r>
      <w:r w:rsidR="006152DE" w:rsidRPr="00F01F5C">
        <w:t xml:space="preserve">always </w:t>
      </w:r>
      <w:r w:rsidRPr="00F01F5C">
        <w:t>be considered a last resort, for while its epistemological payoff is appeal</w:t>
      </w:r>
      <w:r w:rsidR="003F0A56" w:rsidRPr="00F01F5C">
        <w:t>ing (</w:t>
      </w:r>
      <w:r w:rsidRPr="00F01F5C">
        <w:t>at least to some</w:t>
      </w:r>
      <w:r w:rsidR="003F0A56" w:rsidRPr="00F01F5C">
        <w:t>)</w:t>
      </w:r>
      <w:r w:rsidRPr="00F01F5C">
        <w:t>, its cost with respect to psychological adequacy is excessive. Our best studies on the psychology of perception take it to be representational</w:t>
      </w:r>
      <w:r w:rsidR="006152DE" w:rsidRPr="00F01F5C">
        <w:t>—proximal stimuli are converted into a (possible) repre</w:t>
      </w:r>
      <w:r w:rsidR="003F0A56" w:rsidRPr="00F01F5C">
        <w:t>sentation of a distal stimulus. More than one such representation is possible given the same proximal stimuli, and the characteristic</w:t>
      </w:r>
      <w:r w:rsidR="00F47E6A" w:rsidRPr="00F01F5C">
        <w:t>s</w:t>
      </w:r>
      <w:r w:rsidR="003F0A56" w:rsidRPr="00F01F5C">
        <w:t xml:space="preserve"> of the final representation are determined by several factors, including the specific structure of the visual apparatus, which</w:t>
      </w:r>
      <w:r w:rsidR="006152DE" w:rsidRPr="00F01F5C">
        <w:t xml:space="preserve"> </w:t>
      </w:r>
      <w:r w:rsidR="003F0A56" w:rsidRPr="00F01F5C">
        <w:t xml:space="preserve">varies across species and individuals. Furthermore, according to our best studies, </w:t>
      </w:r>
      <w:r w:rsidRPr="00F01F5C">
        <w:t xml:space="preserve">the same representations </w:t>
      </w:r>
      <w:r w:rsidR="003F0A56" w:rsidRPr="00F01F5C">
        <w:t xml:space="preserve">may </w:t>
      </w:r>
      <w:r w:rsidRPr="00F01F5C">
        <w:t>be caused other than by means of the interaction with distal objects.</w:t>
      </w:r>
      <w:r w:rsidR="003F0A56" w:rsidRPr="00F01F5C">
        <w:t xml:space="preserve"> In fact, they can be caused by appropriate stimulations of the brain by means of electrodes. Thus, perception does not allow us to reach all the way down to the objects. Rather, it provides representations of them and these representations do not even necessarily depend on the interaction with outer objects.</w:t>
      </w:r>
      <w:r w:rsidRPr="00F01F5C">
        <w:t xml:space="preserve"> </w:t>
      </w:r>
      <w:r w:rsidR="006152DE" w:rsidRPr="00F01F5C">
        <w:t xml:space="preserve">Hence, our </w:t>
      </w:r>
      <w:r w:rsidR="003F0A56" w:rsidRPr="00F01F5C">
        <w:t xml:space="preserve">best psychology of perception and </w:t>
      </w:r>
      <w:proofErr w:type="spellStart"/>
      <w:r w:rsidR="003F0A56" w:rsidRPr="00F01F5C">
        <w:t>disjunctivism</w:t>
      </w:r>
      <w:proofErr w:type="spellEnd"/>
      <w:r w:rsidR="003F0A56" w:rsidRPr="00F01F5C">
        <w:t xml:space="preserve"> do not seem to be compatible (at least not easily).</w:t>
      </w:r>
      <w:r w:rsidR="006152DE" w:rsidRPr="00F01F5C">
        <w:rPr>
          <w:rStyle w:val="FootnoteReference"/>
        </w:rPr>
        <w:footnoteReference w:id="14"/>
      </w:r>
      <w:r w:rsidR="00995CA7" w:rsidRPr="00F01F5C">
        <w:rPr>
          <w:rFonts w:cs="AdvTT3713a231"/>
          <w:color w:val="131413"/>
        </w:rPr>
        <w:t xml:space="preserve"> </w:t>
      </w:r>
    </w:p>
    <w:p w:rsidR="00995CA7" w:rsidRPr="00F01F5C" w:rsidRDefault="00835947" w:rsidP="004C6263">
      <w:pPr>
        <w:spacing w:line="480" w:lineRule="auto"/>
        <w:ind w:firstLine="720"/>
        <w:jc w:val="both"/>
      </w:pPr>
      <w:r w:rsidRPr="00F01F5C">
        <w:t xml:space="preserve">Let us now </w:t>
      </w:r>
      <w:r w:rsidR="00D62C7C" w:rsidRPr="00F01F5C">
        <w:t>turn to</w:t>
      </w:r>
      <w:r w:rsidRPr="00F01F5C">
        <w:t xml:space="preserve"> whether Wittgenstein’s views</w:t>
      </w:r>
      <w:r w:rsidR="00995CA7" w:rsidRPr="00F01F5C">
        <w:t>,</w:t>
      </w:r>
      <w:r w:rsidRPr="00F01F5C">
        <w:t xml:space="preserve"> if not already committed to </w:t>
      </w:r>
      <w:proofErr w:type="spellStart"/>
      <w:r w:rsidRPr="00F01F5C">
        <w:t>disjunctivism</w:t>
      </w:r>
      <w:proofErr w:type="spellEnd"/>
      <w:r w:rsidRPr="00F01F5C">
        <w:t xml:space="preserve">, are at least compatible with it. Consider the following </w:t>
      </w:r>
      <w:r w:rsidRPr="00F01F5C">
        <w:rPr>
          <w:rFonts w:eastAsia="Times New Roman" w:cs="Times New Roman"/>
          <w:color w:val="000000"/>
          <w:lang w:eastAsia="it-IT"/>
        </w:rPr>
        <w:t xml:space="preserve">passage in OC, in which Wittgenstein seems, strikingly, to be discussing </w:t>
      </w:r>
      <w:r w:rsidRPr="00F01F5C">
        <w:rPr>
          <w:rFonts w:eastAsia="Times New Roman" w:cs="Times New Roman"/>
          <w:i/>
          <w:color w:val="000000"/>
          <w:lang w:eastAsia="it-IT"/>
        </w:rPr>
        <w:t xml:space="preserve">ante </w:t>
      </w:r>
      <w:proofErr w:type="spellStart"/>
      <w:r w:rsidRPr="00F01F5C">
        <w:rPr>
          <w:rFonts w:eastAsia="Times New Roman" w:cs="Times New Roman"/>
          <w:i/>
          <w:color w:val="000000"/>
          <w:lang w:eastAsia="it-IT"/>
        </w:rPr>
        <w:t>litteram</w:t>
      </w:r>
      <w:proofErr w:type="spellEnd"/>
      <w:r w:rsidRPr="00F01F5C">
        <w:rPr>
          <w:rFonts w:eastAsia="Times New Roman" w:cs="Times New Roman"/>
          <w:color w:val="000000"/>
          <w:lang w:eastAsia="it-IT"/>
        </w:rPr>
        <w:t xml:space="preserve"> </w:t>
      </w:r>
      <w:proofErr w:type="spellStart"/>
      <w:r w:rsidRPr="00F01F5C">
        <w:rPr>
          <w:rFonts w:eastAsia="Times New Roman" w:cs="Times New Roman"/>
          <w:color w:val="000000"/>
          <w:lang w:eastAsia="it-IT"/>
        </w:rPr>
        <w:t>disjunctivism</w:t>
      </w:r>
      <w:proofErr w:type="spellEnd"/>
      <w:r w:rsidRPr="00F01F5C">
        <w:rPr>
          <w:rFonts w:eastAsia="Times New Roman" w:cs="Times New Roman"/>
          <w:color w:val="000000"/>
          <w:lang w:eastAsia="it-IT"/>
        </w:rPr>
        <w:t>:</w:t>
      </w:r>
      <w:r w:rsidR="00995CA7" w:rsidRPr="00F01F5C">
        <w:t xml:space="preserve"> </w:t>
      </w:r>
    </w:p>
    <w:p w:rsidR="00835947" w:rsidRPr="00F01F5C" w:rsidRDefault="00835947" w:rsidP="004C6263">
      <w:pPr>
        <w:spacing w:after="0" w:line="480" w:lineRule="auto"/>
        <w:ind w:left="567"/>
        <w:jc w:val="both"/>
        <w:textAlignment w:val="baseline"/>
        <w:rPr>
          <w:rFonts w:eastAsia="Times New Roman" w:cs="Times New Roman"/>
          <w:color w:val="000000"/>
          <w:lang w:eastAsia="it-IT"/>
        </w:rPr>
      </w:pPr>
      <w:r w:rsidRPr="00F01F5C">
        <w:t xml:space="preserve">“I know” has a primitive meaning </w:t>
      </w:r>
      <w:proofErr w:type="gramStart"/>
      <w:r w:rsidRPr="00F01F5C">
        <w:t>similar to</w:t>
      </w:r>
      <w:proofErr w:type="gramEnd"/>
      <w:r w:rsidRPr="00F01F5C">
        <w:t xml:space="preserve"> and related to “I see” (“</w:t>
      </w:r>
      <w:proofErr w:type="spellStart"/>
      <w:r w:rsidRPr="00F01F5C">
        <w:t>wissen</w:t>
      </w:r>
      <w:proofErr w:type="spellEnd"/>
      <w:r w:rsidRPr="00F01F5C">
        <w:t>”, “</w:t>
      </w:r>
      <w:proofErr w:type="spellStart"/>
      <w:r w:rsidRPr="00F01F5C">
        <w:t>videre</w:t>
      </w:r>
      <w:proofErr w:type="spellEnd"/>
      <w:r w:rsidRPr="00F01F5C">
        <w:t xml:space="preserve">”). And “I knew he was in the room, but he wasn’t in the room” is like “I saw him in the room, but he wasn’t there”. “I know” is supposed to express a relation, not between me and the sense of a proposition (like “I believe”) but between me and a fact. So that the fact is taken into my consciousness. (Here is the reason why one wants to say that nothing that goes on in the outer world is really known, but only what happens in the domain </w:t>
      </w:r>
      <w:r w:rsidRPr="00F01F5C">
        <w:lastRenderedPageBreak/>
        <w:t>of what are called sense-data.) This would give us a picture of knowing as the perception of an outer event through visual rays which project it as it is into the eye and the consciousness. Only then the question at once arises whether one can be certain of this projection. And this picture does indeed show how our imagination presents knowledge, but not what lies at the bottom of this presentation. (OC 90)</w:t>
      </w:r>
    </w:p>
    <w:p w:rsidR="00835947" w:rsidRPr="00F01F5C" w:rsidRDefault="00835947" w:rsidP="004C6263">
      <w:pPr>
        <w:spacing w:after="0" w:line="480" w:lineRule="auto"/>
        <w:jc w:val="both"/>
      </w:pPr>
    </w:p>
    <w:p w:rsidR="00835947" w:rsidRPr="00F01F5C" w:rsidRDefault="00835947" w:rsidP="004C6263">
      <w:pPr>
        <w:spacing w:after="0" w:line="480" w:lineRule="auto"/>
        <w:jc w:val="both"/>
      </w:pPr>
      <w:r w:rsidRPr="00F01F5C">
        <w:t>Wittgenstein was struck by the fact that in German the verb for “to know” is “</w:t>
      </w:r>
      <w:proofErr w:type="spellStart"/>
      <w:r w:rsidRPr="00F01F5C">
        <w:t>wissen</w:t>
      </w:r>
      <w:proofErr w:type="spellEnd"/>
      <w:r w:rsidRPr="00F01F5C">
        <w:t>”, which has the same root as the Latin “</w:t>
      </w:r>
      <w:proofErr w:type="spellStart"/>
      <w:r w:rsidRPr="00F01F5C">
        <w:t>videre</w:t>
      </w:r>
      <w:proofErr w:type="spellEnd"/>
      <w:r w:rsidRPr="00F01F5C">
        <w:t xml:space="preserve">” that obviously means “to see”. He also recognized the </w:t>
      </w:r>
      <w:proofErr w:type="spellStart"/>
      <w:r w:rsidRPr="00F01F5C">
        <w:t>factivity</w:t>
      </w:r>
      <w:proofErr w:type="spellEnd"/>
      <w:r w:rsidRPr="00F01F5C">
        <w:t xml:space="preserve"> of “to know”. For instance, in OC 178, he writes</w:t>
      </w:r>
      <w:r w:rsidR="001123D3">
        <w:t>:</w:t>
      </w:r>
      <w:r w:rsidRPr="00F01F5C">
        <w:t xml:space="preserve"> </w:t>
      </w:r>
    </w:p>
    <w:p w:rsidR="00835947" w:rsidRPr="00F01F5C" w:rsidRDefault="00835947" w:rsidP="004C6263">
      <w:pPr>
        <w:spacing w:after="0" w:line="480" w:lineRule="auto"/>
        <w:ind w:firstLine="357"/>
        <w:jc w:val="both"/>
      </w:pPr>
    </w:p>
    <w:p w:rsidR="00835947" w:rsidRPr="00F01F5C" w:rsidRDefault="00835947" w:rsidP="004C6263">
      <w:pPr>
        <w:spacing w:after="0" w:line="480" w:lineRule="auto"/>
        <w:ind w:left="567"/>
        <w:jc w:val="both"/>
      </w:pPr>
      <w:r w:rsidRPr="00F01F5C">
        <w:t>the wrong use made by Moore of the proposition “I know...” lies in his regarding it as an utterance as little subject to doubt as “I am in pain”. And since from “I know it is so” there follows “It is so”, then the latter can’t be doubted either.</w:t>
      </w:r>
    </w:p>
    <w:p w:rsidR="00835947" w:rsidRPr="00F01F5C" w:rsidRDefault="00835947" w:rsidP="004C6263">
      <w:pPr>
        <w:spacing w:after="0" w:line="480" w:lineRule="auto"/>
        <w:jc w:val="both"/>
      </w:pPr>
    </w:p>
    <w:p w:rsidR="00835947" w:rsidRPr="00F01F5C" w:rsidRDefault="00835947" w:rsidP="004C6263">
      <w:pPr>
        <w:spacing w:after="0" w:line="480" w:lineRule="auto"/>
        <w:jc w:val="both"/>
      </w:pPr>
      <w:r w:rsidRPr="00F01F5C">
        <w:t xml:space="preserve">Taking knowledge to be akin to seeing, together with its </w:t>
      </w:r>
      <w:proofErr w:type="spellStart"/>
      <w:r w:rsidRPr="00F01F5C">
        <w:t>factivity</w:t>
      </w:r>
      <w:proofErr w:type="spellEnd"/>
      <w:r w:rsidRPr="00F01F5C">
        <w:t>, produces a captivating “picture”, as he calls it. Namely, a picture according to which knowledge would consist in taking outer facts into one’s consciousness. Yet this is just a picture, and a bad one at that, for Wittgenstein. For we do not take outer facts into consciousness; nor do we have knowledge only of inner facts, since the latter, being mental in nature, might be thought of being taken in consciousness directly. Rather, we only have perceptual experiences, which can lend support to our beliefs thanks to pertinent hinges. Our knowledge, as fallible as is, just consists in having true beliefs supported by defeasible reasons. Indeed, it is of the essence of knowledge, for Wittgenstein, that it be defeasible and this can be so only if knowledge does not depend on</w:t>
      </w:r>
      <w:r w:rsidR="00343DEC">
        <w:t>,</w:t>
      </w:r>
      <w:r w:rsidRPr="00F01F5C">
        <w:t xml:space="preserve"> or entail having </w:t>
      </w:r>
      <w:proofErr w:type="spellStart"/>
      <w:r w:rsidRPr="00F01F5C">
        <w:t>factive</w:t>
      </w:r>
      <w:proofErr w:type="spellEnd"/>
      <w:r w:rsidRPr="00F01F5C">
        <w:t xml:space="preserve"> reasons for the propositions known. As he writes in OC 12,</w:t>
      </w:r>
    </w:p>
    <w:p w:rsidR="00835947" w:rsidRPr="00F01F5C" w:rsidRDefault="00835947" w:rsidP="004C6263">
      <w:pPr>
        <w:spacing w:after="0" w:line="480" w:lineRule="auto"/>
        <w:jc w:val="both"/>
      </w:pPr>
    </w:p>
    <w:p w:rsidR="00835947" w:rsidRPr="00F01F5C" w:rsidRDefault="00835947" w:rsidP="004C6263">
      <w:pPr>
        <w:spacing w:after="0" w:line="480" w:lineRule="auto"/>
        <w:ind w:left="567"/>
        <w:jc w:val="both"/>
      </w:pPr>
      <w:r w:rsidRPr="00F01F5C">
        <w:t xml:space="preserve">‘I know’ seems to describe a </w:t>
      </w:r>
      <w:proofErr w:type="gramStart"/>
      <w:r w:rsidRPr="00F01F5C">
        <w:t>state of affairs which</w:t>
      </w:r>
      <w:proofErr w:type="gramEnd"/>
      <w:r w:rsidRPr="00F01F5C">
        <w:t xml:space="preserve"> guarantees what is known, guarantees it as a fact. One always forgets the expression ‘I thought I knew’.</w:t>
      </w:r>
    </w:p>
    <w:p w:rsidR="00835947" w:rsidRPr="00F01F5C" w:rsidRDefault="00835947" w:rsidP="004C6263">
      <w:pPr>
        <w:spacing w:after="0" w:line="480" w:lineRule="auto"/>
        <w:jc w:val="both"/>
      </w:pPr>
    </w:p>
    <w:p w:rsidR="00835947" w:rsidRDefault="00835947" w:rsidP="004C6263">
      <w:pPr>
        <w:spacing w:after="0" w:line="480" w:lineRule="auto"/>
        <w:jc w:val="both"/>
      </w:pPr>
      <w:proofErr w:type="spellStart"/>
      <w:r w:rsidRPr="00F01F5C">
        <w:t>Disjunctivism</w:t>
      </w:r>
      <w:proofErr w:type="spellEnd"/>
      <w:r w:rsidRPr="00F01F5C">
        <w:t xml:space="preserve">, with its insistence on </w:t>
      </w:r>
      <w:proofErr w:type="spellStart"/>
      <w:r w:rsidRPr="00F01F5C">
        <w:t>factive</w:t>
      </w:r>
      <w:proofErr w:type="spellEnd"/>
      <w:r w:rsidRPr="00F01F5C">
        <w:t xml:space="preserve"> reasons, is forgetful of this grammatical fact, as Wittgenstein would consider it. For, saying that one does know that </w:t>
      </w:r>
      <w:r w:rsidRPr="00F01F5C">
        <w:rPr>
          <w:i/>
        </w:rPr>
        <w:t>p</w:t>
      </w:r>
      <w:r w:rsidRPr="00F01F5C">
        <w:t xml:space="preserve">, </w:t>
      </w:r>
      <w:proofErr w:type="spellStart"/>
      <w:r w:rsidRPr="00F01F5C">
        <w:t>iff</w:t>
      </w:r>
      <w:proofErr w:type="spellEnd"/>
      <w:r w:rsidRPr="00F01F5C">
        <w:t xml:space="preserve"> one has </w:t>
      </w:r>
      <w:proofErr w:type="spellStart"/>
      <w:r w:rsidRPr="00F01F5C">
        <w:t>factive</w:t>
      </w:r>
      <w:proofErr w:type="spellEnd"/>
      <w:r w:rsidRPr="00F01F5C">
        <w:t xml:space="preserve"> reasons for </w:t>
      </w:r>
      <w:r w:rsidRPr="00F01F5C">
        <w:rPr>
          <w:i/>
        </w:rPr>
        <w:t>p</w:t>
      </w:r>
      <w:r w:rsidRPr="00F01F5C">
        <w:t xml:space="preserve"> – viz. because one has taken in the very fact that </w:t>
      </w:r>
      <w:r w:rsidRPr="00F01F5C">
        <w:rPr>
          <w:i/>
        </w:rPr>
        <w:t>p</w:t>
      </w:r>
      <w:r w:rsidRPr="00F01F5C">
        <w:t xml:space="preserve"> – excludes the possibility of being wrong – that one’s reasons may not be conclusive – and that </w:t>
      </w:r>
      <w:r w:rsidRPr="00F01F5C">
        <w:rPr>
          <w:i/>
        </w:rPr>
        <w:t>p</w:t>
      </w:r>
      <w:r w:rsidRPr="00F01F5C">
        <w:t xml:space="preserve"> isn’t the case. Yet Wittgenstein insists that it is only when that possibility remains open that we do have, and are allowed to claim, knowledge. When that possibility is not open, then we are actually stumbling on something categorially different. Namely, a hinge, and our use of “I know” in that connection would </w:t>
      </w:r>
      <w:proofErr w:type="gramStart"/>
      <w:r w:rsidRPr="00F01F5C">
        <w:t>actually not</w:t>
      </w:r>
      <w:proofErr w:type="gramEnd"/>
      <w:r w:rsidRPr="00F01F5C">
        <w:t xml:space="preserve"> be the ordinary </w:t>
      </w:r>
      <w:r w:rsidR="00FD56D0">
        <w:t xml:space="preserve">epistemic use </w:t>
      </w:r>
      <w:r w:rsidRPr="00F01F5C">
        <w:t>but the grammatical one, in which no epistemic relation obtaining between a subject and a proposition is expressed.</w:t>
      </w:r>
      <w:r w:rsidR="004059A6" w:rsidRPr="00F01F5C">
        <w:rPr>
          <w:rStyle w:val="FootnoteReference"/>
        </w:rPr>
        <w:footnoteReference w:id="15"/>
      </w:r>
    </w:p>
    <w:p w:rsidR="001123D3" w:rsidRPr="00F01F5C" w:rsidRDefault="001123D3" w:rsidP="001123D3">
      <w:pPr>
        <w:spacing w:after="0" w:line="480" w:lineRule="auto"/>
        <w:ind w:firstLine="357"/>
        <w:jc w:val="both"/>
      </w:pPr>
      <w:r>
        <w:t xml:space="preserve">A </w:t>
      </w:r>
      <w:proofErr w:type="spellStart"/>
      <w:r>
        <w:t>disjunctivist</w:t>
      </w:r>
      <w:proofErr w:type="spellEnd"/>
      <w:r>
        <w:t xml:space="preserve"> might reply that one may altogether lack </w:t>
      </w:r>
      <w:proofErr w:type="spellStart"/>
      <w:r>
        <w:t>factive</w:t>
      </w:r>
      <w:proofErr w:type="spellEnd"/>
      <w:r>
        <w:t xml:space="preserve"> reasons and hence knowledge, contrary to one’s initial belief. This, however, would simply mean that one didn’t have knowledge in the first place and not that one’s reasons, when one </w:t>
      </w:r>
      <w:r w:rsidRPr="00AE015C">
        <w:rPr>
          <w:i/>
          <w:iCs/>
        </w:rPr>
        <w:t>does</w:t>
      </w:r>
      <w:r>
        <w:t xml:space="preserve"> know, are defeasible. For, according to </w:t>
      </w:r>
      <w:proofErr w:type="spellStart"/>
      <w:r>
        <w:t>disjunctivism</w:t>
      </w:r>
      <w:proofErr w:type="spellEnd"/>
      <w:r>
        <w:t xml:space="preserve">, either we have perceptual reasons, and, in that case, they reach all the way down to facts and cannot be defeated by any increment in information, or we don’t have perceptual reasons at all. Yet, the gist of OC </w:t>
      </w:r>
      <w:r w:rsidR="0030161B">
        <w:t xml:space="preserve">90 is that for Wittgenstein when genuine knowledge occurs – when “I know” expresses the obtaining of an epistemic relation between a subject and a proposition – then reasons must be defeasible. If they weren’t, given that knowledge itself is </w:t>
      </w:r>
      <w:proofErr w:type="spellStart"/>
      <w:r w:rsidR="0030161B">
        <w:t>factive</w:t>
      </w:r>
      <w:proofErr w:type="spellEnd"/>
      <w:r w:rsidR="0030161B">
        <w:t>, it would also be infallible and that is simply impossible for Wittgenstein. That is, whenever we stumble upon a use of “I know” which seems prima facie to express the impossibility of a mistake, we shouldn’t take it to express the obtaining of a genuine of an epistemic relation, but of a grammatical fact.</w:t>
      </w:r>
    </w:p>
    <w:p w:rsidR="0030161B" w:rsidRPr="00F01F5C" w:rsidRDefault="00C20689" w:rsidP="0030161B">
      <w:pPr>
        <w:spacing w:after="0" w:line="480" w:lineRule="auto"/>
        <w:ind w:firstLine="357"/>
        <w:jc w:val="both"/>
      </w:pPr>
      <w:r w:rsidRPr="00F01F5C">
        <w:t>Let us now turn to what is perhaps Pritchard’s most important claim, from the point of view of HE.</w:t>
      </w:r>
      <w:r w:rsidR="00136C48" w:rsidRPr="00F01F5C">
        <w:rPr>
          <w:rStyle w:val="FootnoteReference"/>
        </w:rPr>
        <w:footnoteReference w:id="16"/>
      </w:r>
      <w:r w:rsidRPr="00F01F5C">
        <w:t xml:space="preserve"> To introduce it, it is worth contextualizing it. </w:t>
      </w:r>
      <w:r w:rsidR="007D0E11" w:rsidRPr="00F01F5C">
        <w:rPr>
          <w:rFonts w:eastAsia="Times New Roman" w:cs="Times New Roman"/>
          <w:color w:val="000000"/>
          <w:lang w:eastAsia="it-IT"/>
        </w:rPr>
        <w:t xml:space="preserve">It is a well-known consequence of Wittgenstein’s epistemology that it </w:t>
      </w:r>
      <w:r w:rsidR="007D0E11" w:rsidRPr="00F01F5C">
        <w:rPr>
          <w:rFonts w:eastAsia="Times New Roman" w:cs="Times New Roman"/>
          <w:color w:val="000000"/>
          <w:lang w:eastAsia="it-IT"/>
        </w:rPr>
        <w:lastRenderedPageBreak/>
        <w:t>gives rise to what seems, at least prima facie, a denial of the Closure principle for knowledge and other epistemic operators such as evidential</w:t>
      </w:r>
      <w:r w:rsidR="004B213F" w:rsidRPr="00F01F5C">
        <w:rPr>
          <w:rFonts w:eastAsia="Times New Roman" w:cs="Times New Roman"/>
          <w:color w:val="000000"/>
          <w:lang w:eastAsia="it-IT"/>
        </w:rPr>
        <w:t xml:space="preserve"> warrant or justification. For </w:t>
      </w:r>
      <w:r w:rsidR="007D0E11" w:rsidRPr="00F01F5C">
        <w:rPr>
          <w:rFonts w:eastAsia="Times New Roman" w:cs="Times New Roman"/>
          <w:color w:val="000000"/>
          <w:lang w:eastAsia="it-IT"/>
        </w:rPr>
        <w:t>we can know (or justifiably believe), according to Wittgenstein, ordinary empirical propositions about mid-size objects in our surroundings, but we cannot know the “heavy-weight”</w:t>
      </w:r>
      <w:r w:rsidRPr="00F01F5C">
        <w:rPr>
          <w:rStyle w:val="FootnoteReference"/>
          <w:rFonts w:eastAsia="Times New Roman" w:cs="Times New Roman"/>
          <w:color w:val="000000"/>
          <w:lang w:eastAsia="it-IT"/>
        </w:rPr>
        <w:footnoteReference w:id="17"/>
      </w:r>
      <w:r w:rsidR="007D0E11" w:rsidRPr="00F01F5C">
        <w:rPr>
          <w:rFonts w:eastAsia="Times New Roman" w:cs="Times New Roman"/>
          <w:color w:val="000000"/>
          <w:lang w:eastAsia="it-IT"/>
        </w:rPr>
        <w:t xml:space="preserve"> implications of those propositions, such as “I am not a BIV” or “There is an external world”, on which the very possibility of knowing ordinary empirical propositions depends. Presumably, to gain the latter piece of knowledge, we would run something like the following argument:</w:t>
      </w:r>
      <w:r w:rsidR="0030161B" w:rsidRPr="0030161B">
        <w:t xml:space="preserve"> </w:t>
      </w:r>
    </w:p>
    <w:p w:rsidR="007D0E11" w:rsidRPr="00F01F5C" w:rsidRDefault="007D0E11" w:rsidP="0030161B">
      <w:pPr>
        <w:spacing w:after="0" w:line="480" w:lineRule="auto"/>
        <w:jc w:val="both"/>
        <w:rPr>
          <w:rFonts w:eastAsia="Times New Roman" w:cs="Times New Roman"/>
          <w:color w:val="000000"/>
          <w:lang w:eastAsia="it-IT"/>
        </w:rPr>
      </w:pPr>
    </w:p>
    <w:p w:rsidR="007D0E11" w:rsidRPr="00F01F5C" w:rsidRDefault="00C20689" w:rsidP="004C6263">
      <w:pPr>
        <w:pStyle w:val="ListParagraph"/>
        <w:numPr>
          <w:ilvl w:val="0"/>
          <w:numId w:val="3"/>
        </w:numPr>
        <w:spacing w:after="0" w:line="480" w:lineRule="auto"/>
        <w:jc w:val="both"/>
        <w:textAlignment w:val="baseline"/>
        <w:rPr>
          <w:rFonts w:eastAsia="Times New Roman" w:cs="Times New Roman"/>
          <w:color w:val="000000"/>
          <w:lang w:eastAsia="it-IT"/>
        </w:rPr>
      </w:pPr>
      <w:r w:rsidRPr="00F01F5C">
        <w:rPr>
          <w:rFonts w:eastAsia="Times New Roman" w:cs="Times New Roman"/>
          <w:color w:val="000000"/>
          <w:lang w:eastAsia="it-IT"/>
        </w:rPr>
        <w:t>Here is a hand</w:t>
      </w:r>
    </w:p>
    <w:p w:rsidR="007D0E11" w:rsidRPr="00F01F5C" w:rsidRDefault="007D0E11" w:rsidP="004C6263">
      <w:pPr>
        <w:pStyle w:val="ListParagraph"/>
        <w:numPr>
          <w:ilvl w:val="0"/>
          <w:numId w:val="3"/>
        </w:numPr>
        <w:spacing w:after="0" w:line="480" w:lineRule="auto"/>
        <w:jc w:val="both"/>
        <w:textAlignment w:val="baseline"/>
        <w:rPr>
          <w:rFonts w:eastAsia="Times New Roman" w:cs="Times New Roman"/>
          <w:color w:val="000000"/>
          <w:lang w:eastAsia="it-IT"/>
        </w:rPr>
      </w:pPr>
      <w:r w:rsidRPr="00F01F5C">
        <w:rPr>
          <w:rFonts w:eastAsia="Times New Roman" w:cs="Times New Roman"/>
          <w:color w:val="000000"/>
          <w:lang w:eastAsia="it-IT"/>
        </w:rPr>
        <w:t xml:space="preserve">If </w:t>
      </w:r>
      <w:r w:rsidR="00C20689" w:rsidRPr="00F01F5C">
        <w:rPr>
          <w:rFonts w:eastAsia="Times New Roman" w:cs="Times New Roman"/>
          <w:color w:val="000000"/>
          <w:lang w:eastAsia="it-IT"/>
        </w:rPr>
        <w:t>there is a hand here, there is an external world</w:t>
      </w:r>
    </w:p>
    <w:p w:rsidR="007D0E11" w:rsidRPr="00F01F5C" w:rsidRDefault="00C20689" w:rsidP="004C6263">
      <w:pPr>
        <w:pStyle w:val="ListParagraph"/>
        <w:numPr>
          <w:ilvl w:val="0"/>
          <w:numId w:val="3"/>
        </w:numPr>
        <w:spacing w:after="0" w:line="480" w:lineRule="auto"/>
        <w:jc w:val="both"/>
        <w:textAlignment w:val="baseline"/>
        <w:rPr>
          <w:rFonts w:eastAsia="Times New Roman" w:cs="Times New Roman"/>
          <w:color w:val="000000"/>
          <w:lang w:eastAsia="it-IT"/>
        </w:rPr>
      </w:pPr>
      <w:r w:rsidRPr="00F01F5C">
        <w:rPr>
          <w:rFonts w:eastAsia="Times New Roman" w:cs="Times New Roman"/>
          <w:color w:val="000000"/>
          <w:lang w:eastAsia="it-IT"/>
        </w:rPr>
        <w:t>There is an external world</w:t>
      </w:r>
    </w:p>
    <w:p w:rsidR="007D0E11" w:rsidRPr="00F01F5C" w:rsidRDefault="007D0E11" w:rsidP="004C6263">
      <w:pPr>
        <w:spacing w:after="0" w:line="480" w:lineRule="auto"/>
        <w:jc w:val="both"/>
        <w:textAlignment w:val="baseline"/>
        <w:rPr>
          <w:rFonts w:eastAsia="Times New Roman" w:cs="Times New Roman"/>
          <w:color w:val="000000"/>
          <w:lang w:eastAsia="it-IT"/>
        </w:rPr>
      </w:pPr>
    </w:p>
    <w:p w:rsidR="007D0E11" w:rsidRPr="00F01F5C" w:rsidRDefault="007D0E11" w:rsidP="004C6263">
      <w:pPr>
        <w:spacing w:after="0" w:line="480" w:lineRule="auto"/>
        <w:jc w:val="both"/>
        <w:textAlignment w:val="baseline"/>
        <w:rPr>
          <w:rFonts w:eastAsia="Times New Roman" w:cs="Times New Roman"/>
          <w:color w:val="000000"/>
          <w:lang w:eastAsia="it-IT"/>
        </w:rPr>
      </w:pPr>
      <w:r w:rsidRPr="00F01F5C">
        <w:rPr>
          <w:rFonts w:eastAsia="Times New Roman" w:cs="Times New Roman"/>
          <w:color w:val="000000"/>
          <w:lang w:eastAsia="it-IT"/>
        </w:rPr>
        <w:t xml:space="preserve">Yet, any justification we have for (I)—such as </w:t>
      </w:r>
      <w:r w:rsidR="00C20689" w:rsidRPr="00F01F5C">
        <w:rPr>
          <w:rFonts w:eastAsia="Times New Roman" w:cs="Times New Roman"/>
          <w:color w:val="000000"/>
          <w:lang w:eastAsia="it-IT"/>
        </w:rPr>
        <w:t>perceptual</w:t>
      </w:r>
      <w:r w:rsidRPr="00F01F5C">
        <w:rPr>
          <w:rFonts w:eastAsia="Times New Roman" w:cs="Times New Roman"/>
          <w:color w:val="000000"/>
          <w:lang w:eastAsia="it-IT"/>
        </w:rPr>
        <w:t xml:space="preserve"> evidence—depends on taking (III) for granted. If (III) were not in place, we would still have the relevant evidence—</w:t>
      </w:r>
      <w:r w:rsidR="00C20689" w:rsidRPr="00F01F5C">
        <w:rPr>
          <w:rFonts w:eastAsia="Times New Roman" w:cs="Times New Roman"/>
          <w:color w:val="000000"/>
          <w:lang w:eastAsia="it-IT"/>
        </w:rPr>
        <w:t xml:space="preserve">that is, our perceptual </w:t>
      </w:r>
      <w:r w:rsidR="00D909C8" w:rsidRPr="00F01F5C">
        <w:rPr>
          <w:rFonts w:eastAsia="Times New Roman" w:cs="Times New Roman"/>
          <w:color w:val="000000"/>
          <w:lang w:eastAsia="it-IT"/>
        </w:rPr>
        <w:t>experience</w:t>
      </w:r>
      <w:r w:rsidRPr="00F01F5C">
        <w:rPr>
          <w:rFonts w:eastAsia="Times New Roman" w:cs="Times New Roman"/>
          <w:color w:val="000000"/>
          <w:lang w:eastAsia="it-IT"/>
        </w:rPr>
        <w:t>—but no justification for (I). According to Wittgenstein, whenever we face this kind of epistemic dependence, we ought to recognize that (III) is a “hinge” (OC 341-343, cf. 105</w:t>
      </w:r>
      <w:r w:rsidR="004B213F" w:rsidRPr="00F01F5C">
        <w:rPr>
          <w:rFonts w:eastAsia="Times New Roman" w:cs="Times New Roman"/>
          <w:color w:val="000000"/>
          <w:lang w:eastAsia="it-IT"/>
        </w:rPr>
        <w:t xml:space="preserve">), </w:t>
      </w:r>
      <w:r w:rsidRPr="00F01F5C">
        <w:rPr>
          <w:rFonts w:eastAsia="Times New Roman" w:cs="Times New Roman"/>
          <w:color w:val="000000"/>
          <w:lang w:eastAsia="it-IT"/>
        </w:rPr>
        <w:t xml:space="preserve">that </w:t>
      </w:r>
      <w:r w:rsidR="004B213F" w:rsidRPr="00F01F5C">
        <w:rPr>
          <w:rFonts w:eastAsia="Times New Roman" w:cs="Times New Roman"/>
          <w:color w:val="000000"/>
          <w:lang w:eastAsia="it-IT"/>
        </w:rPr>
        <w:t>which</w:t>
      </w:r>
      <w:r w:rsidRPr="00F01F5C">
        <w:rPr>
          <w:rFonts w:eastAsia="Times New Roman" w:cs="Times New Roman"/>
          <w:color w:val="000000"/>
          <w:lang w:eastAsia="it-IT"/>
        </w:rPr>
        <w:t xml:space="preserve"> to stay put for us to have a justification for ordinary empirical propositions like (I). If so, then, an argument like the previous one, which aimed at giving us a justification for (III), would be ultimately question begging, since it is necessary to take for granted its conclusion in order to have a justification for its premise(s) in the first place. Furthermore, </w:t>
      </w:r>
      <w:r w:rsidR="00D909C8" w:rsidRPr="00F01F5C">
        <w:rPr>
          <w:rFonts w:eastAsia="Times New Roman" w:cs="Times New Roman"/>
          <w:color w:val="000000"/>
          <w:lang w:eastAsia="it-IT"/>
        </w:rPr>
        <w:t xml:space="preserve">as we saw in §2, </w:t>
      </w:r>
      <w:r w:rsidRPr="00F01F5C">
        <w:rPr>
          <w:rFonts w:eastAsia="Times New Roman" w:cs="Times New Roman"/>
          <w:color w:val="000000"/>
          <w:lang w:eastAsia="it-IT"/>
        </w:rPr>
        <w:t>for Wittgenstein, hinges are not like ordi</w:t>
      </w:r>
      <w:r w:rsidR="004B213F" w:rsidRPr="00F01F5C">
        <w:rPr>
          <w:rFonts w:eastAsia="Times New Roman" w:cs="Times New Roman"/>
          <w:color w:val="000000"/>
          <w:lang w:eastAsia="it-IT"/>
        </w:rPr>
        <w:t>nary empirical propositions,</w:t>
      </w:r>
      <w:r w:rsidR="00D909C8" w:rsidRPr="00F01F5C">
        <w:rPr>
          <w:rFonts w:eastAsia="Times New Roman" w:cs="Times New Roman"/>
          <w:color w:val="000000"/>
          <w:lang w:eastAsia="it-IT"/>
        </w:rPr>
        <w:t xml:space="preserve"> a</w:t>
      </w:r>
      <w:r w:rsidR="004B213F" w:rsidRPr="00F01F5C">
        <w:rPr>
          <w:rFonts w:eastAsia="Times New Roman" w:cs="Times New Roman"/>
          <w:color w:val="000000"/>
          <w:lang w:eastAsia="it-IT"/>
        </w:rPr>
        <w:t>nd although they retain a</w:t>
      </w:r>
      <w:r w:rsidR="00D909C8" w:rsidRPr="00F01F5C">
        <w:rPr>
          <w:rFonts w:eastAsia="Times New Roman" w:cs="Times New Roman"/>
          <w:color w:val="000000"/>
          <w:lang w:eastAsia="it-IT"/>
        </w:rPr>
        <w:t xml:space="preserve"> descriptive content</w:t>
      </w:r>
      <w:r w:rsidR="004B213F" w:rsidRPr="00F01F5C">
        <w:rPr>
          <w:rFonts w:eastAsia="Times New Roman" w:cs="Times New Roman"/>
          <w:color w:val="000000"/>
          <w:lang w:eastAsia="it-IT"/>
        </w:rPr>
        <w:t>, they</w:t>
      </w:r>
      <w:r w:rsidR="00D909C8" w:rsidRPr="00F01F5C">
        <w:rPr>
          <w:rFonts w:eastAsia="Times New Roman" w:cs="Times New Roman"/>
          <w:color w:val="000000"/>
          <w:lang w:eastAsia="it-IT"/>
        </w:rPr>
        <w:t xml:space="preserve"> </w:t>
      </w:r>
      <w:proofErr w:type="gramStart"/>
      <w:r w:rsidR="00D909C8" w:rsidRPr="00F01F5C">
        <w:rPr>
          <w:rFonts w:eastAsia="Times New Roman" w:cs="Times New Roman"/>
          <w:color w:val="000000"/>
          <w:lang w:eastAsia="it-IT"/>
        </w:rPr>
        <w:t>actually play</w:t>
      </w:r>
      <w:proofErr w:type="gramEnd"/>
      <w:r w:rsidR="00D909C8" w:rsidRPr="00F01F5C">
        <w:rPr>
          <w:rFonts w:eastAsia="Times New Roman" w:cs="Times New Roman"/>
          <w:color w:val="000000"/>
          <w:lang w:eastAsia="it-IT"/>
        </w:rPr>
        <w:t xml:space="preserve"> a rule-like role</w:t>
      </w:r>
      <w:r w:rsidRPr="00F01F5C">
        <w:rPr>
          <w:rFonts w:eastAsia="Times New Roman" w:cs="Times New Roman"/>
          <w:color w:val="000000"/>
          <w:lang w:eastAsia="it-IT"/>
        </w:rPr>
        <w:t xml:space="preserve">. </w:t>
      </w:r>
      <w:r w:rsidR="00D909C8" w:rsidRPr="00F01F5C">
        <w:rPr>
          <w:rFonts w:eastAsia="Times New Roman" w:cs="Times New Roman"/>
          <w:color w:val="000000"/>
          <w:lang w:eastAsia="it-IT"/>
        </w:rPr>
        <w:t>If so, they are not epistemically assessable</w:t>
      </w:r>
      <w:r w:rsidRPr="00F01F5C">
        <w:rPr>
          <w:rFonts w:eastAsia="Times New Roman" w:cs="Times New Roman"/>
          <w:color w:val="000000"/>
          <w:lang w:eastAsia="it-IT"/>
        </w:rPr>
        <w:t xml:space="preserve">. Thus, while we may have justification or even knowledge of (I), and </w:t>
      </w:r>
      <w:proofErr w:type="gramStart"/>
      <w:r w:rsidRPr="00F01F5C">
        <w:rPr>
          <w:rFonts w:eastAsia="Times New Roman" w:cs="Times New Roman"/>
          <w:color w:val="000000"/>
          <w:lang w:eastAsia="it-IT"/>
        </w:rPr>
        <w:t>despite the fact that</w:t>
      </w:r>
      <w:proofErr w:type="gramEnd"/>
      <w:r w:rsidRPr="00F01F5C">
        <w:rPr>
          <w:rFonts w:eastAsia="Times New Roman" w:cs="Times New Roman"/>
          <w:color w:val="000000"/>
          <w:lang w:eastAsia="it-IT"/>
        </w:rPr>
        <w:t xml:space="preserve"> (I) entails (III), </w:t>
      </w:r>
      <w:r w:rsidR="00343DEC">
        <w:rPr>
          <w:rFonts w:eastAsia="Times New Roman" w:cs="Times New Roman"/>
          <w:color w:val="000000"/>
          <w:lang w:eastAsia="it-IT"/>
        </w:rPr>
        <w:t xml:space="preserve">as (II) correctly states, </w:t>
      </w:r>
      <w:r w:rsidRPr="00F01F5C">
        <w:rPr>
          <w:rFonts w:eastAsia="Times New Roman" w:cs="Times New Roman"/>
          <w:color w:val="000000"/>
          <w:lang w:eastAsia="it-IT"/>
        </w:rPr>
        <w:t>we do not have either justification for, or knowledge of (III).</w:t>
      </w:r>
    </w:p>
    <w:p w:rsidR="007D0E11" w:rsidRPr="00F01F5C" w:rsidRDefault="007D0E11" w:rsidP="004C6263">
      <w:pPr>
        <w:spacing w:after="0" w:line="480" w:lineRule="auto"/>
        <w:ind w:firstLine="708"/>
        <w:jc w:val="both"/>
        <w:textAlignment w:val="baseline"/>
        <w:rPr>
          <w:rFonts w:eastAsia="Times New Roman" w:cs="Times New Roman"/>
          <w:color w:val="000000"/>
          <w:lang w:eastAsia="it-IT"/>
        </w:rPr>
      </w:pPr>
      <w:r w:rsidRPr="00F01F5C">
        <w:rPr>
          <w:rFonts w:eastAsia="Times New Roman" w:cs="Times New Roman"/>
          <w:color w:val="000000"/>
          <w:lang w:eastAsia="it-IT"/>
        </w:rPr>
        <w:lastRenderedPageBreak/>
        <w:t>Now, several hinge epistemologists are prepared to face the situation, offering considerations to minimize the allegedly devastating effects of such an admission. Some, like Wright (2004, pp. 177-178),</w:t>
      </w:r>
      <w:bookmarkStart w:id="1" w:name="_ednref4"/>
      <w:r w:rsidRPr="00F01F5C">
        <w:rPr>
          <w:rFonts w:eastAsia="Times New Roman" w:cs="Times New Roman"/>
          <w:color w:val="000000"/>
          <w:bdr w:val="none" w:sz="0" w:space="0" w:color="auto" w:frame="1"/>
          <w:vertAlign w:val="superscript"/>
          <w:lang w:eastAsia="it-IT"/>
        </w:rPr>
        <w:t xml:space="preserve"> </w:t>
      </w:r>
      <w:bookmarkEnd w:id="1"/>
      <w:r w:rsidRPr="00F01F5C">
        <w:rPr>
          <w:rFonts w:eastAsia="Times New Roman" w:cs="Times New Roman"/>
          <w:color w:val="000000"/>
          <w:lang w:eastAsia="it-IT"/>
        </w:rPr>
        <w:t>for instance, are willing to grant that Closure</w:t>
      </w:r>
      <w:r w:rsidR="00D909C8" w:rsidRPr="00F01F5C">
        <w:rPr>
          <w:rFonts w:eastAsia="Times New Roman" w:cs="Times New Roman"/>
          <w:color w:val="000000"/>
          <w:lang w:eastAsia="it-IT"/>
        </w:rPr>
        <w:t xml:space="preserve"> would fail for knowledge but</w:t>
      </w:r>
      <w:r w:rsidRPr="00F01F5C">
        <w:rPr>
          <w:rFonts w:eastAsia="Times New Roman" w:cs="Times New Roman"/>
          <w:color w:val="000000"/>
          <w:lang w:eastAsia="it-IT"/>
        </w:rPr>
        <w:t xml:space="preserve"> </w:t>
      </w:r>
      <w:r w:rsidR="00D909C8" w:rsidRPr="00F01F5C">
        <w:rPr>
          <w:rFonts w:eastAsia="Times New Roman" w:cs="Times New Roman"/>
          <w:color w:val="000000"/>
          <w:lang w:eastAsia="it-IT"/>
        </w:rPr>
        <w:t>not</w:t>
      </w:r>
      <w:r w:rsidRPr="00F01F5C">
        <w:rPr>
          <w:rFonts w:eastAsia="Times New Roman" w:cs="Times New Roman"/>
          <w:color w:val="000000"/>
          <w:lang w:eastAsia="it-IT"/>
        </w:rPr>
        <w:t xml:space="preserve"> for other epistemic notions in the vicinity, like rational entitlement.</w:t>
      </w:r>
      <w:r w:rsidRPr="00F01F5C">
        <w:rPr>
          <w:rStyle w:val="FootnoteReference"/>
          <w:rFonts w:eastAsia="Times New Roman" w:cs="Times New Roman"/>
          <w:color w:val="000000"/>
          <w:lang w:eastAsia="it-IT"/>
        </w:rPr>
        <w:footnoteReference w:id="18"/>
      </w:r>
      <w:r w:rsidRPr="00F01F5C">
        <w:rPr>
          <w:rFonts w:eastAsia="Times New Roman" w:cs="Times New Roman"/>
          <w:color w:val="000000"/>
          <w:lang w:eastAsia="it-IT"/>
        </w:rPr>
        <w:t xml:space="preserve"> Others</w:t>
      </w:r>
      <w:r w:rsidR="00C20689" w:rsidRPr="00F01F5C">
        <w:rPr>
          <w:rFonts w:eastAsia="Times New Roman" w:cs="Times New Roman"/>
          <w:color w:val="000000"/>
          <w:lang w:eastAsia="it-IT"/>
        </w:rPr>
        <w:t xml:space="preserve">, </w:t>
      </w:r>
      <w:r w:rsidR="004B213F" w:rsidRPr="00F01F5C">
        <w:rPr>
          <w:rFonts w:eastAsia="Times New Roman" w:cs="Times New Roman"/>
          <w:color w:val="000000"/>
          <w:lang w:eastAsia="it-IT"/>
        </w:rPr>
        <w:t xml:space="preserve">including </w:t>
      </w:r>
      <w:r w:rsidR="00C20689" w:rsidRPr="00F01F5C">
        <w:rPr>
          <w:rFonts w:eastAsia="Times New Roman" w:cs="Times New Roman"/>
          <w:color w:val="000000"/>
          <w:lang w:eastAsia="it-IT"/>
        </w:rPr>
        <w:t>myself</w:t>
      </w:r>
      <w:r w:rsidR="000D0E78" w:rsidRPr="00F01F5C">
        <w:rPr>
          <w:rFonts w:eastAsia="Times New Roman" w:cs="Times New Roman"/>
          <w:color w:val="000000"/>
          <w:lang w:eastAsia="it-IT"/>
        </w:rPr>
        <w:t>,</w:t>
      </w:r>
      <w:r w:rsidRPr="00F01F5C">
        <w:rPr>
          <w:rFonts w:eastAsia="Times New Roman" w:cs="Times New Roman"/>
          <w:color w:val="000000"/>
          <w:lang w:eastAsia="it-IT"/>
        </w:rPr>
        <w:t xml:space="preserve"> point out that </w:t>
      </w:r>
      <w:r w:rsidR="004B213F" w:rsidRPr="00F01F5C">
        <w:rPr>
          <w:rFonts w:eastAsia="Times New Roman" w:cs="Times New Roman"/>
          <w:color w:val="000000"/>
          <w:lang w:eastAsia="it-IT"/>
        </w:rPr>
        <w:t>Closure</w:t>
      </w:r>
      <w:r w:rsidRPr="00F01F5C">
        <w:rPr>
          <w:rFonts w:eastAsia="Times New Roman" w:cs="Times New Roman"/>
          <w:color w:val="000000"/>
          <w:lang w:eastAsia="it-IT"/>
        </w:rPr>
        <w:t xml:space="preserve"> would fail, for principled reasons,</w:t>
      </w:r>
      <w:r w:rsidR="004B213F" w:rsidRPr="00F01F5C">
        <w:rPr>
          <w:rStyle w:val="FootnoteReference"/>
          <w:rFonts w:eastAsia="Times New Roman" w:cs="Times New Roman"/>
          <w:color w:val="000000"/>
          <w:lang w:eastAsia="it-IT"/>
        </w:rPr>
        <w:footnoteReference w:id="19"/>
      </w:r>
      <w:r w:rsidRPr="00F01F5C">
        <w:rPr>
          <w:rFonts w:eastAsia="Times New Roman" w:cs="Times New Roman"/>
          <w:color w:val="000000"/>
          <w:lang w:eastAsia="it-IT"/>
        </w:rPr>
        <w:t xml:space="preserve"> only when the consequent of the conditional is a heavy-weight implication, but not when it is any other ordinary empirical proposition.</w:t>
      </w:r>
      <w:r w:rsidRPr="00F01F5C">
        <w:rPr>
          <w:rStyle w:val="FootnoteReference"/>
          <w:rFonts w:eastAsia="Times New Roman" w:cs="Times New Roman"/>
          <w:color w:val="000000"/>
          <w:lang w:eastAsia="it-IT"/>
        </w:rPr>
        <w:footnoteReference w:id="20"/>
      </w:r>
      <w:r w:rsidRPr="00F01F5C">
        <w:rPr>
          <w:rFonts w:eastAsia="Times New Roman" w:cs="Times New Roman"/>
          <w:color w:val="000000"/>
          <w:lang w:eastAsia="it-IT"/>
        </w:rPr>
        <w:t xml:space="preserve"> Hence, Closure </w:t>
      </w:r>
      <w:r w:rsidR="00D909C8" w:rsidRPr="00F01F5C">
        <w:rPr>
          <w:rFonts w:eastAsia="Times New Roman" w:cs="Times New Roman"/>
          <w:color w:val="000000"/>
          <w:lang w:eastAsia="it-IT"/>
        </w:rPr>
        <w:t xml:space="preserve">for knowledge </w:t>
      </w:r>
      <w:r w:rsidRPr="00F01F5C">
        <w:rPr>
          <w:rFonts w:eastAsia="Times New Roman" w:cs="Times New Roman"/>
          <w:color w:val="000000"/>
          <w:lang w:eastAsia="it-IT"/>
        </w:rPr>
        <w:t xml:space="preserve">holds, but not unrestrictedly. Yet, its limited failure would be compatible with the retention of that very principle in </w:t>
      </w:r>
      <w:r w:rsidR="00C20689" w:rsidRPr="00F01F5C">
        <w:rPr>
          <w:rFonts w:eastAsia="Times New Roman" w:cs="Times New Roman"/>
          <w:color w:val="000000"/>
          <w:lang w:eastAsia="it-IT"/>
        </w:rPr>
        <w:t>the vast majority of cases, when ordinary empirical propositions are involved</w:t>
      </w:r>
      <w:r w:rsidRPr="00F01F5C">
        <w:rPr>
          <w:rFonts w:eastAsia="Times New Roman" w:cs="Times New Roman"/>
          <w:color w:val="000000"/>
          <w:lang w:eastAsia="it-IT"/>
        </w:rPr>
        <w:t>.</w:t>
      </w:r>
      <w:bookmarkStart w:id="2" w:name="_ednref5"/>
      <w:r w:rsidRPr="00F01F5C">
        <w:rPr>
          <w:rStyle w:val="FootnoteReference"/>
          <w:rFonts w:eastAsia="Times New Roman" w:cs="Times New Roman"/>
          <w:color w:val="000000"/>
          <w:lang w:eastAsia="it-IT"/>
        </w:rPr>
        <w:footnoteReference w:id="21"/>
      </w:r>
      <w:bookmarkEnd w:id="2"/>
    </w:p>
    <w:p w:rsidR="007D0E11" w:rsidRPr="00F01F5C" w:rsidRDefault="007D0E11" w:rsidP="004C6263">
      <w:pPr>
        <w:spacing w:after="0" w:line="480" w:lineRule="auto"/>
        <w:ind w:firstLine="708"/>
        <w:jc w:val="both"/>
        <w:textAlignment w:val="baseline"/>
        <w:rPr>
          <w:rFonts w:eastAsia="Times New Roman" w:cs="Times New Roman"/>
          <w:color w:val="000000"/>
          <w:lang w:eastAsia="it-IT"/>
        </w:rPr>
      </w:pPr>
      <w:r w:rsidRPr="00F01F5C">
        <w:rPr>
          <w:rFonts w:eastAsia="Times New Roman" w:cs="Times New Roman"/>
          <w:color w:val="000000"/>
          <w:lang w:eastAsia="it-IT"/>
        </w:rPr>
        <w:t xml:space="preserve">Pritchard, in contrast, wants to maintain the unrestricted validity of the Closure principle </w:t>
      </w:r>
      <w:r w:rsidR="00D909C8" w:rsidRPr="00F01F5C">
        <w:rPr>
          <w:rFonts w:eastAsia="Times New Roman" w:cs="Times New Roman"/>
          <w:color w:val="000000"/>
          <w:lang w:eastAsia="it-IT"/>
        </w:rPr>
        <w:t xml:space="preserve">for knowledge </w:t>
      </w:r>
      <w:r w:rsidRPr="00F01F5C">
        <w:rPr>
          <w:rFonts w:eastAsia="Times New Roman" w:cs="Times New Roman"/>
          <w:color w:val="000000"/>
          <w:lang w:eastAsia="it-IT"/>
        </w:rPr>
        <w:t xml:space="preserve">and yet, with Wittgenstein and several hinge epistemologists, he does not want to say that we can know heavy-weight assumptions, even if these are entailed by ordinary empirical propositions we </w:t>
      </w:r>
      <w:r w:rsidR="00D909C8" w:rsidRPr="00F01F5C">
        <w:rPr>
          <w:rFonts w:eastAsia="Times New Roman" w:cs="Times New Roman"/>
          <w:color w:val="000000"/>
          <w:lang w:eastAsia="it-IT"/>
        </w:rPr>
        <w:t xml:space="preserve">do </w:t>
      </w:r>
      <w:r w:rsidRPr="00F01F5C">
        <w:rPr>
          <w:rFonts w:eastAsia="Times New Roman" w:cs="Times New Roman"/>
          <w:color w:val="000000"/>
          <w:lang w:eastAsia="it-IT"/>
        </w:rPr>
        <w:t xml:space="preserve">know. His way out of this impasse consists in claiming that our </w:t>
      </w:r>
      <w:r w:rsidRPr="00F01F5C">
        <w:rPr>
          <w:rFonts w:eastAsia="Times New Roman" w:cs="Times New Roman"/>
          <w:i/>
          <w:color w:val="000000"/>
          <w:lang w:eastAsia="it-IT"/>
        </w:rPr>
        <w:t>attitude</w:t>
      </w:r>
      <w:r w:rsidRPr="00F01F5C">
        <w:rPr>
          <w:rFonts w:eastAsia="Times New Roman" w:cs="Times New Roman"/>
          <w:color w:val="000000"/>
          <w:lang w:eastAsia="it-IT"/>
        </w:rPr>
        <w:t xml:space="preserve"> towards these assumptions is not one of </w:t>
      </w:r>
      <w:r w:rsidR="00321B6D">
        <w:rPr>
          <w:rFonts w:eastAsia="Times New Roman" w:cs="Times New Roman"/>
          <w:color w:val="000000"/>
          <w:lang w:eastAsia="it-IT"/>
        </w:rPr>
        <w:t xml:space="preserve">k-apt </w:t>
      </w:r>
      <w:r w:rsidRPr="00F01F5C">
        <w:rPr>
          <w:rFonts w:eastAsia="Times New Roman" w:cs="Times New Roman"/>
          <w:color w:val="000000"/>
          <w:lang w:eastAsia="it-IT"/>
        </w:rPr>
        <w:t xml:space="preserve">belief and that we would never </w:t>
      </w:r>
      <w:r w:rsidRPr="00F01F5C">
        <w:rPr>
          <w:rFonts w:eastAsia="Times New Roman" w:cs="Times New Roman"/>
          <w:i/>
          <w:color w:val="000000"/>
          <w:lang w:eastAsia="it-IT"/>
        </w:rPr>
        <w:t>acquire</w:t>
      </w:r>
      <w:r w:rsidRPr="00F01F5C">
        <w:rPr>
          <w:rFonts w:eastAsia="Times New Roman" w:cs="Times New Roman"/>
          <w:color w:val="000000"/>
          <w:lang w:eastAsia="it-IT"/>
        </w:rPr>
        <w:t xml:space="preserve"> such a belief </w:t>
      </w:r>
      <w:r w:rsidR="004B213F" w:rsidRPr="00F01F5C">
        <w:rPr>
          <w:rFonts w:eastAsia="Times New Roman" w:cs="Times New Roman"/>
          <w:color w:val="000000"/>
          <w:lang w:eastAsia="it-IT"/>
        </w:rPr>
        <w:t>by means</w:t>
      </w:r>
      <w:r w:rsidRPr="00F01F5C">
        <w:rPr>
          <w:rFonts w:eastAsia="Times New Roman" w:cs="Times New Roman"/>
          <w:color w:val="000000"/>
          <w:lang w:eastAsia="it-IT"/>
        </w:rPr>
        <w:t xml:space="preserve"> of an application of the Closure principle. Since </w:t>
      </w:r>
      <w:r w:rsidR="00321B6D">
        <w:rPr>
          <w:rFonts w:eastAsia="Times New Roman" w:cs="Times New Roman"/>
          <w:color w:val="000000"/>
          <w:lang w:eastAsia="it-IT"/>
        </w:rPr>
        <w:t xml:space="preserve">k-apt </w:t>
      </w:r>
      <w:r w:rsidRPr="00F01F5C">
        <w:rPr>
          <w:rFonts w:eastAsia="Times New Roman" w:cs="Times New Roman"/>
          <w:color w:val="000000"/>
          <w:lang w:eastAsia="it-IT"/>
        </w:rPr>
        <w:t>belief is necessary for knowledge, it follows that the Closure principle is simply not applicable in those cases in which the consequent of the known conditional is a “heavy-weight” proposition, or, as Pritchard prefers to call it, a “hinge commitment”.</w:t>
      </w:r>
    </w:p>
    <w:p w:rsidR="007D0E11" w:rsidRPr="00F01F5C" w:rsidRDefault="007D0E11" w:rsidP="004C6263">
      <w:pPr>
        <w:spacing w:after="0" w:line="480" w:lineRule="auto"/>
        <w:ind w:firstLine="708"/>
        <w:jc w:val="both"/>
        <w:textAlignment w:val="baseline"/>
        <w:rPr>
          <w:rFonts w:eastAsia="Times New Roman" w:cs="Times New Roman"/>
          <w:color w:val="000000"/>
          <w:lang w:eastAsia="it-IT"/>
        </w:rPr>
      </w:pPr>
      <w:r w:rsidRPr="00F01F5C">
        <w:rPr>
          <w:rFonts w:eastAsia="Times New Roman" w:cs="Times New Roman"/>
          <w:color w:val="000000"/>
          <w:lang w:eastAsia="it-IT"/>
        </w:rPr>
        <w:t xml:space="preserve">Now, it is important to note, first, that obsessing over the unrestricted validity of Closure is motivated only to the extent that Closure itself is seen as a generative principle. That is, </w:t>
      </w:r>
      <w:r w:rsidR="00D909C8" w:rsidRPr="00F01F5C">
        <w:rPr>
          <w:rFonts w:eastAsia="Times New Roman" w:cs="Times New Roman"/>
          <w:color w:val="000000"/>
          <w:lang w:eastAsia="it-IT"/>
        </w:rPr>
        <w:t xml:space="preserve">only </w:t>
      </w:r>
      <w:r w:rsidR="000D0E78" w:rsidRPr="00F01F5C">
        <w:rPr>
          <w:rFonts w:eastAsia="Times New Roman" w:cs="Times New Roman"/>
          <w:color w:val="000000"/>
          <w:lang w:eastAsia="it-IT"/>
        </w:rPr>
        <w:t xml:space="preserve">if </w:t>
      </w:r>
      <w:r w:rsidR="00D909C8" w:rsidRPr="00F01F5C">
        <w:rPr>
          <w:rFonts w:eastAsia="Times New Roman" w:cs="Times New Roman"/>
          <w:color w:val="000000"/>
          <w:lang w:eastAsia="it-IT"/>
        </w:rPr>
        <w:t>Closure</w:t>
      </w:r>
      <w:r w:rsidR="000D0E78" w:rsidRPr="00F01F5C">
        <w:rPr>
          <w:rFonts w:eastAsia="Times New Roman" w:cs="Times New Roman"/>
          <w:color w:val="000000"/>
          <w:lang w:eastAsia="it-IT"/>
        </w:rPr>
        <w:t xml:space="preserve"> </w:t>
      </w:r>
      <w:proofErr w:type="gramStart"/>
      <w:r w:rsidR="000D0E78" w:rsidRPr="00F01F5C">
        <w:rPr>
          <w:rFonts w:eastAsia="Times New Roman" w:cs="Times New Roman"/>
          <w:color w:val="000000"/>
          <w:lang w:eastAsia="it-IT"/>
        </w:rPr>
        <w:t>is considered to be</w:t>
      </w:r>
      <w:proofErr w:type="gramEnd"/>
      <w:r w:rsidRPr="00F01F5C">
        <w:rPr>
          <w:rFonts w:eastAsia="Times New Roman" w:cs="Times New Roman"/>
          <w:color w:val="000000"/>
          <w:lang w:eastAsia="it-IT"/>
        </w:rPr>
        <w:t xml:space="preserve"> </w:t>
      </w:r>
      <w:r w:rsidRPr="00F01F5C">
        <w:rPr>
          <w:rFonts w:eastAsia="Times New Roman" w:cs="Times New Roman"/>
          <w:color w:val="000000"/>
          <w:lang w:eastAsia="it-IT"/>
        </w:rPr>
        <w:lastRenderedPageBreak/>
        <w:t xml:space="preserve">a principle which allows us to </w:t>
      </w:r>
      <w:r w:rsidRPr="00F01F5C">
        <w:rPr>
          <w:rFonts w:eastAsia="Times New Roman" w:cs="Times New Roman"/>
          <w:i/>
          <w:color w:val="000000"/>
          <w:lang w:eastAsia="it-IT"/>
        </w:rPr>
        <w:t>extend</w:t>
      </w:r>
      <w:r w:rsidRPr="00F01F5C">
        <w:rPr>
          <w:rFonts w:eastAsia="Times New Roman" w:cs="Times New Roman"/>
          <w:color w:val="000000"/>
          <w:lang w:eastAsia="it-IT"/>
        </w:rPr>
        <w:t xml:space="preserve"> our justification (or knowledge) from the premises of a given argument, to its conclusions, via known entailment. This, however, is not a sacrosanct reading of it. In fact, since at least Wright (1985), it has become customary to distinguish between Closure and Transmission of justification (</w:t>
      </w:r>
      <w:r w:rsidR="00321B6D">
        <w:rPr>
          <w:rFonts w:eastAsia="Times New Roman" w:cs="Times New Roman"/>
          <w:color w:val="000000"/>
          <w:lang w:eastAsia="it-IT"/>
        </w:rPr>
        <w:t xml:space="preserve">and of knowledge </w:t>
      </w:r>
      <w:proofErr w:type="gramStart"/>
      <w:r w:rsidR="00321B6D">
        <w:rPr>
          <w:rFonts w:eastAsia="Times New Roman" w:cs="Times New Roman"/>
          <w:color w:val="000000"/>
          <w:lang w:eastAsia="it-IT"/>
        </w:rPr>
        <w:t>as long as</w:t>
      </w:r>
      <w:proofErr w:type="gramEnd"/>
      <w:r w:rsidR="00321B6D">
        <w:rPr>
          <w:rFonts w:eastAsia="Times New Roman" w:cs="Times New Roman"/>
          <w:color w:val="000000"/>
          <w:lang w:eastAsia="it-IT"/>
        </w:rPr>
        <w:t xml:space="preserve"> knowledge entails having justification</w:t>
      </w:r>
      <w:r w:rsidRPr="00F01F5C">
        <w:rPr>
          <w:rFonts w:eastAsia="Times New Roman" w:cs="Times New Roman"/>
          <w:color w:val="000000"/>
          <w:lang w:eastAsia="it-IT"/>
        </w:rPr>
        <w:t>). In my own work,</w:t>
      </w:r>
      <w:r w:rsidR="00D909C8" w:rsidRPr="00F01F5C">
        <w:rPr>
          <w:rStyle w:val="FootnoteReference"/>
          <w:rFonts w:eastAsia="Times New Roman" w:cs="Times New Roman"/>
          <w:color w:val="000000"/>
          <w:lang w:eastAsia="it-IT"/>
        </w:rPr>
        <w:footnoteReference w:id="22"/>
      </w:r>
      <w:r w:rsidRPr="00F01F5C">
        <w:rPr>
          <w:rFonts w:eastAsia="Times New Roman" w:cs="Times New Roman"/>
          <w:color w:val="000000"/>
          <w:lang w:eastAsia="it-IT"/>
        </w:rPr>
        <w:t xml:space="preserve"> I have explained the difference by saying that all it matters to Closure is that the same kind of epistemic operator would figure in the premises and the conclusion of the argument, irrespective of the provenance of the relevant epistemic good. Thus, for instance, if one were justified in believing that Q through testimony, and one were justified in believing that P through perception, and were justified a priori to believe that P entails Q, Closure for justification would be respected and yet it would not thereby give one a first justification to believe Q; nor would it enhance any antecedent justification one would have for Q already. Transmission, in contrast, would be the generative principle that would either give one a first justification to believe Q, or enhance one’s antecedent justification for it.</w:t>
      </w:r>
    </w:p>
    <w:p w:rsidR="007D0E11" w:rsidRPr="00F01F5C" w:rsidRDefault="000D0E78" w:rsidP="004C6263">
      <w:pPr>
        <w:spacing w:after="0" w:line="480" w:lineRule="auto"/>
        <w:ind w:firstLine="708"/>
        <w:jc w:val="both"/>
        <w:textAlignment w:val="baseline"/>
        <w:rPr>
          <w:rFonts w:eastAsia="Times New Roman" w:cs="Times New Roman"/>
          <w:color w:val="000000"/>
          <w:lang w:eastAsia="it-IT"/>
        </w:rPr>
      </w:pPr>
      <w:r w:rsidRPr="00F01F5C">
        <w:rPr>
          <w:rFonts w:eastAsia="Times New Roman" w:cs="Times New Roman"/>
          <w:color w:val="000000"/>
          <w:lang w:eastAsia="it-IT"/>
        </w:rPr>
        <w:t xml:space="preserve">While this is important in order </w:t>
      </w:r>
      <w:r w:rsidR="007D0E11" w:rsidRPr="00F01F5C">
        <w:rPr>
          <w:rFonts w:eastAsia="Times New Roman" w:cs="Times New Roman"/>
          <w:color w:val="000000"/>
          <w:lang w:eastAsia="it-IT"/>
        </w:rPr>
        <w:t>to differentiate various epistemic principles, which may be more or less significant to us and thus difficult to abandon, the choice of calling “Closure” what others would call “Transmission” is ultimately terminological. So, let us grant Pritchard his own reading of Closure—which makes it a case of transmission by other epistemologists’ lights</w:t>
      </w:r>
      <w:r w:rsidR="00321B6D">
        <w:rPr>
          <w:rFonts w:eastAsia="Times New Roman" w:cs="Times New Roman"/>
          <w:color w:val="000000"/>
          <w:lang w:eastAsia="it-IT"/>
        </w:rPr>
        <w:t xml:space="preserve"> (or nearly enough)</w:t>
      </w:r>
      <w:r w:rsidR="007D0E11" w:rsidRPr="00F01F5C">
        <w:rPr>
          <w:rFonts w:eastAsia="Times New Roman" w:cs="Times New Roman"/>
          <w:color w:val="000000"/>
          <w:lang w:eastAsia="it-IT"/>
        </w:rPr>
        <w:t>—and let us turn to a discussion of his way out of the impasse.</w:t>
      </w:r>
    </w:p>
    <w:p w:rsidR="007D0E11" w:rsidRPr="00F01F5C" w:rsidRDefault="007D0E11" w:rsidP="004C6263">
      <w:pPr>
        <w:spacing w:after="0" w:line="480" w:lineRule="auto"/>
        <w:ind w:firstLine="708"/>
        <w:jc w:val="both"/>
        <w:textAlignment w:val="baseline"/>
        <w:rPr>
          <w:rFonts w:eastAsia="Times New Roman" w:cs="Times New Roman"/>
          <w:color w:val="000000"/>
          <w:lang w:eastAsia="it-IT"/>
        </w:rPr>
      </w:pPr>
      <w:r w:rsidRPr="00F01F5C">
        <w:rPr>
          <w:rFonts w:eastAsia="Times New Roman" w:cs="Times New Roman"/>
          <w:color w:val="000000"/>
          <w:lang w:eastAsia="it-IT"/>
        </w:rPr>
        <w:t xml:space="preserve">One way Pritchard could go would be to say, with </w:t>
      </w:r>
      <w:proofErr w:type="spellStart"/>
      <w:r w:rsidR="00C20689" w:rsidRPr="00F01F5C">
        <w:rPr>
          <w:rFonts w:eastAsia="Times New Roman" w:cs="Times New Roman"/>
          <w:color w:val="000000"/>
          <w:lang w:eastAsia="it-IT"/>
        </w:rPr>
        <w:t>Danièle</w:t>
      </w:r>
      <w:proofErr w:type="spellEnd"/>
      <w:r w:rsidR="00C20689" w:rsidRPr="00F01F5C">
        <w:rPr>
          <w:rFonts w:eastAsia="Times New Roman" w:cs="Times New Roman"/>
          <w:color w:val="000000"/>
          <w:lang w:eastAsia="it-IT"/>
        </w:rPr>
        <w:t xml:space="preserve"> </w:t>
      </w:r>
      <w:proofErr w:type="spellStart"/>
      <w:r w:rsidR="00C20689" w:rsidRPr="00F01F5C">
        <w:rPr>
          <w:rFonts w:eastAsia="Times New Roman" w:cs="Times New Roman"/>
          <w:color w:val="000000"/>
          <w:lang w:eastAsia="it-IT"/>
        </w:rPr>
        <w:t>Moyal</w:t>
      </w:r>
      <w:proofErr w:type="spellEnd"/>
      <w:r w:rsidR="00C20689" w:rsidRPr="00F01F5C">
        <w:rPr>
          <w:rFonts w:eastAsia="Times New Roman" w:cs="Times New Roman"/>
          <w:color w:val="000000"/>
          <w:lang w:eastAsia="it-IT"/>
        </w:rPr>
        <w:t>-Sharrock</w:t>
      </w:r>
      <w:r w:rsidRPr="00F01F5C">
        <w:rPr>
          <w:rFonts w:eastAsia="Times New Roman" w:cs="Times New Roman"/>
          <w:color w:val="000000"/>
          <w:lang w:eastAsia="it-IT"/>
        </w:rPr>
        <w:t xml:space="preserve">, that since hinges are rules and rules are not propositions, they are not apt to be contents of beliefs and </w:t>
      </w:r>
      <w:r w:rsidR="004B213F" w:rsidRPr="00F01F5C">
        <w:rPr>
          <w:rFonts w:eastAsia="Times New Roman" w:cs="Times New Roman"/>
          <w:color w:val="000000"/>
          <w:lang w:eastAsia="it-IT"/>
        </w:rPr>
        <w:t xml:space="preserve">of </w:t>
      </w:r>
      <w:r w:rsidR="00DB10FC" w:rsidRPr="00F01F5C">
        <w:rPr>
          <w:rFonts w:eastAsia="Times New Roman" w:cs="Times New Roman"/>
          <w:color w:val="000000"/>
          <w:lang w:eastAsia="it-IT"/>
        </w:rPr>
        <w:t xml:space="preserve">(propositional) </w:t>
      </w:r>
      <w:r w:rsidRPr="00F01F5C">
        <w:rPr>
          <w:rFonts w:eastAsia="Times New Roman" w:cs="Times New Roman"/>
          <w:color w:val="000000"/>
          <w:lang w:eastAsia="it-IT"/>
        </w:rPr>
        <w:t>knowledge. Yet, Pritchard does not want to take this route—and rightly so in my opinion. For</w:t>
      </w:r>
      <w:r w:rsidR="00DB10FC" w:rsidRPr="00F01F5C">
        <w:rPr>
          <w:rFonts w:eastAsia="Times New Roman" w:cs="Times New Roman"/>
          <w:color w:val="000000"/>
          <w:lang w:eastAsia="it-IT"/>
        </w:rPr>
        <w:t>, as we saw in §2,</w:t>
      </w:r>
      <w:r w:rsidRPr="00F01F5C">
        <w:rPr>
          <w:rFonts w:eastAsia="Times New Roman" w:cs="Times New Roman"/>
          <w:color w:val="000000"/>
          <w:lang w:eastAsia="it-IT"/>
        </w:rPr>
        <w:t xml:space="preserve"> it is difficult to motivate the idea that hi</w:t>
      </w:r>
      <w:r w:rsidR="004B213F" w:rsidRPr="00F01F5C">
        <w:rPr>
          <w:rFonts w:eastAsia="Times New Roman" w:cs="Times New Roman"/>
          <w:color w:val="000000"/>
          <w:lang w:eastAsia="it-IT"/>
        </w:rPr>
        <w:t>nges aren’t propositions</w:t>
      </w:r>
      <w:r w:rsidRPr="00F01F5C">
        <w:rPr>
          <w:rFonts w:eastAsia="Times New Roman" w:cs="Times New Roman"/>
          <w:color w:val="000000"/>
          <w:lang w:eastAsia="it-IT"/>
        </w:rPr>
        <w:t xml:space="preserve">, even though they play a normative role. Moreover, they can clearly figure as antecedents in conditional statements, they would admit of meaningful negations and could occur in </w:t>
      </w:r>
      <w:proofErr w:type="spellStart"/>
      <w:r w:rsidRPr="00F01F5C">
        <w:rPr>
          <w:rFonts w:eastAsia="Times New Roman" w:cs="Times New Roman"/>
          <w:color w:val="000000"/>
          <w:lang w:eastAsia="it-IT"/>
        </w:rPr>
        <w:t>disquotational</w:t>
      </w:r>
      <w:proofErr w:type="spellEnd"/>
      <w:r w:rsidRPr="00F01F5C">
        <w:rPr>
          <w:rFonts w:eastAsia="Times New Roman" w:cs="Times New Roman"/>
          <w:color w:val="000000"/>
          <w:lang w:eastAsia="it-IT"/>
        </w:rPr>
        <w:t xml:space="preserve"> schemas. Of course, perceptive supporters of the non-propositional reading of hinges are </w:t>
      </w:r>
      <w:r w:rsidRPr="00F01F5C">
        <w:rPr>
          <w:rFonts w:eastAsia="Times New Roman" w:cs="Times New Roman"/>
          <w:color w:val="000000"/>
          <w:lang w:eastAsia="it-IT"/>
        </w:rPr>
        <w:lastRenderedPageBreak/>
        <w:t xml:space="preserve">aware of all that and typically claim that in all these cases we would have the same sentence—a doppelgänger of the hinge—playing no hinge role, </w:t>
      </w:r>
      <w:r w:rsidR="00343DEC">
        <w:rPr>
          <w:rFonts w:eastAsia="Times New Roman" w:cs="Times New Roman"/>
          <w:color w:val="000000"/>
          <w:lang w:eastAsia="it-IT"/>
        </w:rPr>
        <w:t xml:space="preserve">as we saw in </w:t>
      </w:r>
      <w:r w:rsidR="00343DEC" w:rsidRPr="00F01F5C">
        <w:rPr>
          <w:rFonts w:eastAsia="Times New Roman" w:cs="Times New Roman"/>
          <w:color w:val="000000"/>
          <w:lang w:eastAsia="it-IT"/>
        </w:rPr>
        <w:t>§</w:t>
      </w:r>
      <w:r w:rsidR="00343DEC">
        <w:rPr>
          <w:rFonts w:eastAsia="Times New Roman" w:cs="Times New Roman"/>
          <w:color w:val="000000"/>
          <w:lang w:eastAsia="it-IT"/>
        </w:rPr>
        <w:t>2</w:t>
      </w:r>
      <w:r w:rsidRPr="00F01F5C">
        <w:rPr>
          <w:rFonts w:eastAsia="Times New Roman" w:cs="Times New Roman"/>
          <w:color w:val="000000"/>
          <w:lang w:eastAsia="it-IT"/>
        </w:rPr>
        <w:t>. This defense, however, is problematic on multiple fronts. For instance, it would entail some kind of semantic ignorance on our part, since we would typically be oblivious to su</w:t>
      </w:r>
      <w:r w:rsidR="00644001" w:rsidRPr="00F01F5C">
        <w:rPr>
          <w:rFonts w:eastAsia="Times New Roman" w:cs="Times New Roman"/>
          <w:color w:val="000000"/>
          <w:lang w:eastAsia="it-IT"/>
        </w:rPr>
        <w:t>ch a difference. Moreover, i</w:t>
      </w:r>
      <w:r w:rsidRPr="00F01F5C">
        <w:rPr>
          <w:rFonts w:eastAsia="Times New Roman" w:cs="Times New Roman"/>
          <w:color w:val="000000"/>
          <w:lang w:eastAsia="it-IT"/>
        </w:rPr>
        <w:t xml:space="preserve">t would not fit well with </w:t>
      </w:r>
      <w:r w:rsidR="00C83FC3" w:rsidRPr="00F01F5C">
        <w:rPr>
          <w:rFonts w:eastAsia="Times New Roman" w:cs="Times New Roman"/>
          <w:color w:val="000000"/>
          <w:lang w:eastAsia="it-IT"/>
        </w:rPr>
        <w:t>those</w:t>
      </w:r>
      <w:r w:rsidRPr="00F01F5C">
        <w:rPr>
          <w:rFonts w:eastAsia="Times New Roman" w:cs="Times New Roman"/>
          <w:color w:val="000000"/>
          <w:lang w:eastAsia="it-IT"/>
        </w:rPr>
        <w:t xml:space="preserve"> of Wittgenstein’s </w:t>
      </w:r>
      <w:r w:rsidR="00C83FC3" w:rsidRPr="00F01F5C">
        <w:rPr>
          <w:rFonts w:eastAsia="Times New Roman" w:cs="Times New Roman"/>
          <w:color w:val="000000"/>
          <w:lang w:eastAsia="it-IT"/>
        </w:rPr>
        <w:t>remarks i</w:t>
      </w:r>
      <w:r w:rsidRPr="00F01F5C">
        <w:rPr>
          <w:rFonts w:eastAsia="Times New Roman" w:cs="Times New Roman"/>
          <w:color w:val="000000"/>
          <w:lang w:eastAsia="it-IT"/>
        </w:rPr>
        <w:t xml:space="preserve">n </w:t>
      </w:r>
      <w:r w:rsidR="00C83FC3" w:rsidRPr="00F01F5C">
        <w:rPr>
          <w:rFonts w:eastAsia="Times New Roman" w:cs="Times New Roman"/>
          <w:color w:val="000000"/>
          <w:lang w:eastAsia="it-IT"/>
        </w:rPr>
        <w:t>OC</w:t>
      </w:r>
      <w:r w:rsidRPr="00F01F5C">
        <w:rPr>
          <w:rFonts w:eastAsia="Times New Roman" w:cs="Times New Roman"/>
          <w:color w:val="000000"/>
          <w:lang w:eastAsia="it-IT"/>
        </w:rPr>
        <w:t>, in which he contends</w:t>
      </w:r>
      <w:r w:rsidR="00C83FC3" w:rsidRPr="00F01F5C">
        <w:rPr>
          <w:rFonts w:eastAsia="Times New Roman" w:cs="Times New Roman"/>
          <w:color w:val="000000"/>
          <w:lang w:eastAsia="it-IT"/>
        </w:rPr>
        <w:t>, as we saw in §2,</w:t>
      </w:r>
      <w:r w:rsidRPr="00F01F5C">
        <w:rPr>
          <w:rFonts w:eastAsia="Times New Roman" w:cs="Times New Roman"/>
          <w:color w:val="000000"/>
          <w:lang w:eastAsia="it-IT"/>
        </w:rPr>
        <w:t xml:space="preserve"> that the very same proposition can be treated as a rule of testing and as something to be tested, depending on </w:t>
      </w:r>
      <w:r w:rsidR="00C83FC3" w:rsidRPr="00F01F5C">
        <w:rPr>
          <w:rFonts w:eastAsia="Times New Roman" w:cs="Times New Roman"/>
          <w:color w:val="000000"/>
          <w:lang w:eastAsia="it-IT"/>
        </w:rPr>
        <w:t>the circumstances</w:t>
      </w:r>
      <w:r w:rsidRPr="00F01F5C">
        <w:rPr>
          <w:rFonts w:eastAsia="Times New Roman" w:cs="Times New Roman"/>
          <w:color w:val="000000"/>
          <w:lang w:eastAsia="it-IT"/>
        </w:rPr>
        <w:t xml:space="preserve"> (cf. OC 96-99).</w:t>
      </w:r>
    </w:p>
    <w:p w:rsidR="007D0E11" w:rsidRPr="00F01F5C" w:rsidRDefault="007D0E11" w:rsidP="004C6263">
      <w:pPr>
        <w:spacing w:after="0" w:line="480" w:lineRule="auto"/>
        <w:ind w:firstLine="708"/>
        <w:jc w:val="both"/>
        <w:textAlignment w:val="baseline"/>
        <w:rPr>
          <w:rFonts w:eastAsia="Times New Roman" w:cs="Times New Roman"/>
          <w:color w:val="000000"/>
          <w:lang w:eastAsia="it-IT"/>
        </w:rPr>
      </w:pPr>
      <w:r w:rsidRPr="00F01F5C">
        <w:rPr>
          <w:rFonts w:eastAsia="Times New Roman" w:cs="Times New Roman"/>
          <w:color w:val="000000"/>
          <w:lang w:eastAsia="it-IT"/>
        </w:rPr>
        <w:t xml:space="preserve">As noticed, Pritchard’s solution is to retain the </w:t>
      </w:r>
      <w:proofErr w:type="spellStart"/>
      <w:r w:rsidRPr="00F01F5C">
        <w:rPr>
          <w:rFonts w:eastAsia="Times New Roman" w:cs="Times New Roman"/>
          <w:color w:val="000000"/>
          <w:lang w:eastAsia="it-IT"/>
        </w:rPr>
        <w:t>propositionality</w:t>
      </w:r>
      <w:proofErr w:type="spellEnd"/>
      <w:r w:rsidRPr="00F01F5C">
        <w:rPr>
          <w:rFonts w:eastAsia="Times New Roman" w:cs="Times New Roman"/>
          <w:color w:val="000000"/>
          <w:lang w:eastAsia="it-IT"/>
        </w:rPr>
        <w:t xml:space="preserve"> of hinges while making them the content of a peculiar attitude, different from </w:t>
      </w:r>
      <w:r w:rsidR="00321B6D">
        <w:rPr>
          <w:rFonts w:eastAsia="Times New Roman" w:cs="Times New Roman"/>
          <w:color w:val="000000"/>
          <w:lang w:eastAsia="it-IT"/>
        </w:rPr>
        <w:t xml:space="preserve">k-apt </w:t>
      </w:r>
      <w:r w:rsidRPr="00F01F5C">
        <w:rPr>
          <w:rFonts w:eastAsia="Times New Roman" w:cs="Times New Roman"/>
          <w:color w:val="000000"/>
          <w:lang w:eastAsia="it-IT"/>
        </w:rPr>
        <w:t xml:space="preserve">belief, called “commitment”. Now, one may legitimately wonder what commitments are. Yet, Pritchard is surprisingly silent on how exactly we should understand them. To be reminded, in a </w:t>
      </w:r>
      <w:proofErr w:type="spellStart"/>
      <w:r w:rsidRPr="00F01F5C">
        <w:rPr>
          <w:rFonts w:eastAsia="Times New Roman" w:cs="Times New Roman"/>
          <w:color w:val="000000"/>
          <w:lang w:eastAsia="it-IT"/>
        </w:rPr>
        <w:t>Wittgensteinian</w:t>
      </w:r>
      <w:proofErr w:type="spellEnd"/>
      <w:r w:rsidRPr="00F01F5C">
        <w:rPr>
          <w:rFonts w:eastAsia="Times New Roman" w:cs="Times New Roman"/>
          <w:color w:val="000000"/>
          <w:lang w:eastAsia="it-IT"/>
        </w:rPr>
        <w:t xml:space="preserve"> spirit, that commitments encode the idea that we bear to hinges a kind of animal, visceral certainty is fine as far as it goes, but it should not obscure the fact that we can and do conceptualize hinges and that they are the content of some kind of propositional attitude after all. Indeed, this seems to be a straightforward consequence of Pritchard’s rejection of the non-propositional reading of hinges. Yet, if hinges are propositions and are the content of a specific attitude, then it is the very attitude at play that is doing all the philosophical work. Thus, the question remains as to what commitments really amount to.</w:t>
      </w:r>
      <w:r w:rsidR="00321B6D">
        <w:rPr>
          <w:rFonts w:eastAsia="Times New Roman" w:cs="Times New Roman"/>
          <w:color w:val="000000"/>
          <w:lang w:eastAsia="it-IT"/>
        </w:rPr>
        <w:t xml:space="preserve"> In fact, if they are not evidentially supported, or k-apt beliefs, then they come very close to assumptions</w:t>
      </w:r>
      <w:r w:rsidR="005C0E52">
        <w:rPr>
          <w:rFonts w:eastAsia="Times New Roman" w:cs="Times New Roman"/>
          <w:color w:val="000000"/>
          <w:lang w:eastAsia="it-IT"/>
        </w:rPr>
        <w:t>. I will presently return to this issue.</w:t>
      </w:r>
    </w:p>
    <w:p w:rsidR="00C83FC3" w:rsidRPr="00F01F5C" w:rsidRDefault="00644001" w:rsidP="004C6263">
      <w:pPr>
        <w:spacing w:after="0" w:line="480" w:lineRule="auto"/>
        <w:ind w:firstLine="708"/>
        <w:jc w:val="both"/>
        <w:textAlignment w:val="baseline"/>
        <w:rPr>
          <w:rFonts w:eastAsia="Times New Roman" w:cs="Times New Roman"/>
          <w:color w:val="000000"/>
          <w:lang w:eastAsia="it-IT"/>
        </w:rPr>
      </w:pPr>
      <w:r w:rsidRPr="00F01F5C">
        <w:rPr>
          <w:rFonts w:eastAsia="Times New Roman" w:cs="Times New Roman"/>
          <w:color w:val="000000"/>
          <w:lang w:eastAsia="it-IT"/>
        </w:rPr>
        <w:t>Now</w:t>
      </w:r>
      <w:r w:rsidR="00C83FC3" w:rsidRPr="00F01F5C">
        <w:rPr>
          <w:rFonts w:eastAsia="Times New Roman" w:cs="Times New Roman"/>
          <w:color w:val="000000"/>
          <w:lang w:eastAsia="it-IT"/>
        </w:rPr>
        <w:t xml:space="preserve">, while it may be a something like a visceral commitment of mine that I have hands, I am not sure the same would hold for the myriad hinges Wittgenstein considers in OC, including “Water boils at 100 °C”, or “Napoleon </w:t>
      </w:r>
      <w:r w:rsidR="00EE05AA">
        <w:rPr>
          <w:rFonts w:eastAsia="Times New Roman" w:cs="Times New Roman"/>
          <w:color w:val="000000"/>
          <w:lang w:eastAsia="it-IT"/>
        </w:rPr>
        <w:t>won</w:t>
      </w:r>
      <w:r w:rsidR="00C83FC3" w:rsidRPr="00F01F5C">
        <w:rPr>
          <w:rFonts w:eastAsia="Times New Roman" w:cs="Times New Roman"/>
          <w:color w:val="000000"/>
          <w:lang w:eastAsia="it-IT"/>
        </w:rPr>
        <w:t xml:space="preserve"> at Austerlitz”,</w:t>
      </w:r>
      <w:r w:rsidR="00EE05AA">
        <w:rPr>
          <w:rStyle w:val="FootnoteReference"/>
          <w:rFonts w:eastAsia="Times New Roman" w:cs="Times New Roman"/>
          <w:color w:val="000000"/>
          <w:lang w:eastAsia="it-IT"/>
        </w:rPr>
        <w:footnoteReference w:id="23"/>
      </w:r>
      <w:r w:rsidR="00C83FC3" w:rsidRPr="00F01F5C">
        <w:rPr>
          <w:rFonts w:eastAsia="Times New Roman" w:cs="Times New Roman"/>
          <w:color w:val="000000"/>
          <w:lang w:eastAsia="it-IT"/>
        </w:rPr>
        <w:t xml:space="preserve"> </w:t>
      </w:r>
      <w:r w:rsidRPr="00F01F5C">
        <w:rPr>
          <w:rFonts w:eastAsia="Times New Roman" w:cs="Times New Roman"/>
          <w:color w:val="000000"/>
          <w:lang w:eastAsia="it-IT"/>
        </w:rPr>
        <w:t xml:space="preserve">or “Nobody has ever been on the moon”, </w:t>
      </w:r>
      <w:r w:rsidR="00C83FC3" w:rsidRPr="00F01F5C">
        <w:rPr>
          <w:rFonts w:eastAsia="Times New Roman" w:cs="Times New Roman"/>
          <w:color w:val="000000"/>
          <w:lang w:eastAsia="it-IT"/>
        </w:rPr>
        <w:t xml:space="preserve">etc. That is, stressing the visceral element quite naturally inclines one to think of commitments as enacted, but there is no enactment of “Water </w:t>
      </w:r>
      <w:r w:rsidR="00C83FC3" w:rsidRPr="00F01F5C">
        <w:rPr>
          <w:rFonts w:eastAsia="Times New Roman" w:cs="Times New Roman"/>
          <w:color w:val="000000"/>
          <w:lang w:eastAsia="it-IT"/>
        </w:rPr>
        <w:lastRenderedPageBreak/>
        <w:t>boils at 100 °C”.</w:t>
      </w:r>
      <w:r w:rsidR="007839F5" w:rsidRPr="00F01F5C">
        <w:rPr>
          <w:rFonts w:eastAsia="Times New Roman" w:cs="Times New Roman"/>
          <w:color w:val="000000"/>
          <w:lang w:eastAsia="it-IT"/>
        </w:rPr>
        <w:t xml:space="preserve"> Pritchard would </w:t>
      </w:r>
      <w:r w:rsidR="005C0E52">
        <w:rPr>
          <w:rFonts w:eastAsia="Times New Roman" w:cs="Times New Roman"/>
          <w:color w:val="000000"/>
          <w:lang w:eastAsia="it-IT"/>
        </w:rPr>
        <w:t xml:space="preserve">likely </w:t>
      </w:r>
      <w:r w:rsidR="007839F5" w:rsidRPr="00F01F5C">
        <w:rPr>
          <w:rFonts w:eastAsia="Times New Roman" w:cs="Times New Roman"/>
          <w:color w:val="000000"/>
          <w:lang w:eastAsia="it-IT"/>
        </w:rPr>
        <w:t xml:space="preserve">respond that the visceral commitment is only to the über-hinge that we cannot be massively mistaken and that, depending on the circumstances, it can take a certain content, like “Water boils at 100 °C”, which has nothing visceral to it, and turn the latter into a specific hinge commitment. </w:t>
      </w:r>
      <w:r w:rsidRPr="00F01F5C">
        <w:rPr>
          <w:rFonts w:eastAsia="Times New Roman" w:cs="Times New Roman"/>
          <w:color w:val="000000"/>
          <w:lang w:eastAsia="it-IT"/>
        </w:rPr>
        <w:t>Yet,</w:t>
      </w:r>
      <w:r w:rsidR="007839F5" w:rsidRPr="00F01F5C">
        <w:rPr>
          <w:rFonts w:eastAsia="Times New Roman" w:cs="Times New Roman"/>
          <w:color w:val="000000"/>
          <w:lang w:eastAsia="it-IT"/>
        </w:rPr>
        <w:t xml:space="preserve"> I doubt this would be a helpful strategy. For people may be viscerally committed to all sorts of false beliefs, biases and prejudices, which we would not thereby want to turn into hinges.</w:t>
      </w:r>
      <w:r w:rsidR="00A5618A" w:rsidRPr="00F01F5C">
        <w:rPr>
          <w:rFonts w:eastAsia="Times New Roman" w:cs="Times New Roman"/>
          <w:color w:val="000000"/>
          <w:lang w:eastAsia="it-IT"/>
        </w:rPr>
        <w:t xml:space="preserve"> Thus</w:t>
      </w:r>
      <w:r w:rsidR="00B55294" w:rsidRPr="00F01F5C">
        <w:rPr>
          <w:rFonts w:eastAsia="Times New Roman" w:cs="Times New Roman"/>
          <w:color w:val="000000"/>
          <w:lang w:eastAsia="it-IT"/>
        </w:rPr>
        <w:t>,</w:t>
      </w:r>
      <w:r w:rsidR="00A5618A" w:rsidRPr="00F01F5C">
        <w:rPr>
          <w:rFonts w:eastAsia="Times New Roman" w:cs="Times New Roman"/>
          <w:color w:val="000000"/>
          <w:lang w:eastAsia="it-IT"/>
        </w:rPr>
        <w:t xml:space="preserve"> there may be a “demarcation</w:t>
      </w:r>
      <w:r w:rsidR="00343DEC" w:rsidRPr="00343DEC">
        <w:rPr>
          <w:rFonts w:eastAsia="Times New Roman" w:cs="Times New Roman"/>
          <w:color w:val="000000"/>
          <w:lang w:eastAsia="it-IT"/>
        </w:rPr>
        <w:t xml:space="preserve"> </w:t>
      </w:r>
      <w:r w:rsidR="00343DEC" w:rsidRPr="00F01F5C">
        <w:rPr>
          <w:rFonts w:eastAsia="Times New Roman" w:cs="Times New Roman"/>
          <w:color w:val="000000"/>
          <w:lang w:eastAsia="it-IT"/>
        </w:rPr>
        <w:t>problem</w:t>
      </w:r>
      <w:r w:rsidR="00A5618A" w:rsidRPr="00F01F5C">
        <w:rPr>
          <w:rFonts w:eastAsia="Times New Roman" w:cs="Times New Roman"/>
          <w:color w:val="000000"/>
          <w:lang w:eastAsia="it-IT"/>
        </w:rPr>
        <w:t xml:space="preserve">” </w:t>
      </w:r>
      <w:r w:rsidR="00343DEC">
        <w:rPr>
          <w:rFonts w:eastAsia="Times New Roman" w:cs="Times New Roman"/>
          <w:color w:val="000000"/>
          <w:lang w:eastAsia="it-IT"/>
        </w:rPr>
        <w:t xml:space="preserve">looming </w:t>
      </w:r>
      <w:r w:rsidR="00A5618A" w:rsidRPr="00F01F5C">
        <w:rPr>
          <w:rFonts w:eastAsia="Times New Roman" w:cs="Times New Roman"/>
          <w:color w:val="000000"/>
          <w:lang w:eastAsia="it-IT"/>
        </w:rPr>
        <w:t>here.</w:t>
      </w:r>
      <w:r w:rsidR="00343DEC">
        <w:rPr>
          <w:rStyle w:val="FootnoteReference"/>
          <w:rFonts w:eastAsia="Times New Roman" w:cs="Times New Roman"/>
          <w:color w:val="000000"/>
          <w:lang w:eastAsia="it-IT"/>
        </w:rPr>
        <w:footnoteReference w:id="24"/>
      </w:r>
      <w:r w:rsidR="00A5618A" w:rsidRPr="00F01F5C">
        <w:rPr>
          <w:rFonts w:eastAsia="Times New Roman" w:cs="Times New Roman"/>
          <w:color w:val="000000"/>
          <w:lang w:eastAsia="it-IT"/>
        </w:rPr>
        <w:t xml:space="preserve"> </w:t>
      </w:r>
      <w:r w:rsidR="00B55294" w:rsidRPr="00F01F5C">
        <w:rPr>
          <w:rFonts w:eastAsia="Times New Roman" w:cs="Times New Roman"/>
          <w:color w:val="000000"/>
          <w:lang w:eastAsia="it-IT"/>
        </w:rPr>
        <w:t>That is, i</w:t>
      </w:r>
      <w:r w:rsidR="00A5618A" w:rsidRPr="00F01F5C">
        <w:rPr>
          <w:rFonts w:eastAsia="Times New Roman" w:cs="Times New Roman"/>
          <w:color w:val="000000"/>
          <w:lang w:eastAsia="it-IT"/>
        </w:rPr>
        <w:t>s Pritchard in fact recommending to depart from Wittgenstein’s OC and reduce the number of hinges to those with respect to which we cannot be mistaken</w:t>
      </w:r>
      <w:r w:rsidR="00B55294" w:rsidRPr="00F01F5C">
        <w:rPr>
          <w:rFonts w:eastAsia="Times New Roman" w:cs="Times New Roman"/>
          <w:color w:val="000000"/>
          <w:lang w:eastAsia="it-IT"/>
        </w:rPr>
        <w:t>,</w:t>
      </w:r>
      <w:r w:rsidR="00A5618A" w:rsidRPr="00F01F5C">
        <w:rPr>
          <w:rFonts w:eastAsia="Times New Roman" w:cs="Times New Roman"/>
          <w:color w:val="000000"/>
          <w:lang w:eastAsia="it-IT"/>
        </w:rPr>
        <w:t xml:space="preserve"> for they are </w:t>
      </w:r>
      <w:r w:rsidR="00B55294" w:rsidRPr="00F01F5C">
        <w:rPr>
          <w:rFonts w:eastAsia="Times New Roman" w:cs="Times New Roman"/>
          <w:color w:val="000000"/>
          <w:lang w:eastAsia="it-IT"/>
        </w:rPr>
        <w:t>actually necessary assumptions of large swaths of epistemic practices, such as forming justified beliefs and acquiring knowledge by means of perception</w:t>
      </w:r>
      <w:r w:rsidR="00343DEC">
        <w:rPr>
          <w:rFonts w:eastAsia="Times New Roman" w:cs="Times New Roman"/>
          <w:color w:val="000000"/>
          <w:lang w:eastAsia="it-IT"/>
        </w:rPr>
        <w:t>,</w:t>
      </w:r>
      <w:r w:rsidR="00B55294" w:rsidRPr="00F01F5C">
        <w:rPr>
          <w:rFonts w:eastAsia="Times New Roman" w:cs="Times New Roman"/>
          <w:color w:val="000000"/>
          <w:lang w:eastAsia="it-IT"/>
        </w:rPr>
        <w:t xml:space="preserve"> or is he not? And, in </w:t>
      </w:r>
      <w:r w:rsidR="00343DEC">
        <w:rPr>
          <w:rFonts w:eastAsia="Times New Roman" w:cs="Times New Roman"/>
          <w:color w:val="000000"/>
          <w:lang w:eastAsia="it-IT"/>
        </w:rPr>
        <w:t>this latter</w:t>
      </w:r>
      <w:r w:rsidR="00B55294" w:rsidRPr="00F01F5C">
        <w:rPr>
          <w:rFonts w:eastAsia="Times New Roman" w:cs="Times New Roman"/>
          <w:color w:val="000000"/>
          <w:lang w:eastAsia="it-IT"/>
        </w:rPr>
        <w:t xml:space="preserve"> case, wouldn’t he run the risk of condoning too many “hinges”, if being viscerally committed to something is the criterion for “</w:t>
      </w:r>
      <w:proofErr w:type="spellStart"/>
      <w:r w:rsidR="00B55294" w:rsidRPr="00F01F5C">
        <w:rPr>
          <w:rFonts w:eastAsia="Times New Roman" w:cs="Times New Roman"/>
          <w:color w:val="000000"/>
          <w:lang w:eastAsia="it-IT"/>
        </w:rPr>
        <w:t>hinginess</w:t>
      </w:r>
      <w:proofErr w:type="spellEnd"/>
      <w:r w:rsidR="00B55294" w:rsidRPr="00F01F5C">
        <w:rPr>
          <w:rFonts w:eastAsia="Times New Roman" w:cs="Times New Roman"/>
          <w:color w:val="000000"/>
          <w:lang w:eastAsia="it-IT"/>
        </w:rPr>
        <w:t>”?</w:t>
      </w:r>
    </w:p>
    <w:p w:rsidR="007D0E11" w:rsidRPr="00F01F5C" w:rsidRDefault="00B55294" w:rsidP="004C6263">
      <w:pPr>
        <w:spacing w:after="0" w:line="480" w:lineRule="auto"/>
        <w:ind w:firstLine="708"/>
        <w:jc w:val="both"/>
        <w:textAlignment w:val="baseline"/>
        <w:rPr>
          <w:rFonts w:eastAsia="Times New Roman" w:cs="Times New Roman"/>
          <w:color w:val="000000"/>
          <w:lang w:eastAsia="it-IT"/>
        </w:rPr>
      </w:pPr>
      <w:r w:rsidRPr="00F01F5C">
        <w:rPr>
          <w:rFonts w:eastAsia="Times New Roman" w:cs="Times New Roman"/>
          <w:color w:val="000000"/>
          <w:lang w:eastAsia="it-IT"/>
        </w:rPr>
        <w:t>Furthermore</w:t>
      </w:r>
      <w:r w:rsidR="007D0E11" w:rsidRPr="00F01F5C">
        <w:rPr>
          <w:rFonts w:eastAsia="Times New Roman" w:cs="Times New Roman"/>
          <w:color w:val="000000"/>
          <w:lang w:eastAsia="it-IT"/>
        </w:rPr>
        <w:t xml:space="preserve">, we are told that </w:t>
      </w:r>
      <w:r w:rsidR="00C83FC3" w:rsidRPr="00F01F5C">
        <w:rPr>
          <w:rFonts w:eastAsia="Times New Roman" w:cs="Times New Roman"/>
          <w:color w:val="000000"/>
          <w:lang w:eastAsia="it-IT"/>
        </w:rPr>
        <w:t>commitments</w:t>
      </w:r>
      <w:r w:rsidR="007D0E11" w:rsidRPr="00F01F5C">
        <w:rPr>
          <w:rFonts w:eastAsia="Times New Roman" w:cs="Times New Roman"/>
          <w:color w:val="000000"/>
          <w:lang w:eastAsia="it-IT"/>
        </w:rPr>
        <w:t xml:space="preserve"> are a kind of propositional attitude, and that they are different from </w:t>
      </w:r>
      <w:r w:rsidR="005C0E52">
        <w:rPr>
          <w:rFonts w:eastAsia="Times New Roman" w:cs="Times New Roman"/>
          <w:color w:val="000000"/>
          <w:lang w:eastAsia="it-IT"/>
        </w:rPr>
        <w:t xml:space="preserve">k-apt </w:t>
      </w:r>
      <w:r w:rsidR="007D0E11" w:rsidRPr="00F01F5C">
        <w:rPr>
          <w:rFonts w:eastAsia="Times New Roman" w:cs="Times New Roman"/>
          <w:color w:val="000000"/>
          <w:lang w:eastAsia="it-IT"/>
        </w:rPr>
        <w:t>beliefs</w:t>
      </w:r>
      <w:r w:rsidR="00DB10FC" w:rsidRPr="00F01F5C">
        <w:rPr>
          <w:rFonts w:eastAsia="Times New Roman" w:cs="Times New Roman"/>
          <w:color w:val="000000"/>
          <w:lang w:eastAsia="it-IT"/>
        </w:rPr>
        <w:t>, in that they are not and need not be justified and backed up by reasons and evidence</w:t>
      </w:r>
      <w:r w:rsidR="007D0E11" w:rsidRPr="00F01F5C">
        <w:rPr>
          <w:rFonts w:eastAsia="Times New Roman" w:cs="Times New Roman"/>
          <w:color w:val="000000"/>
          <w:lang w:eastAsia="it-IT"/>
        </w:rPr>
        <w:t>. Now, other hinge epistemologists (see Wright 2004 and Coliva 2015), have labored to develop a notion of acceptance, which is not based on evidence in favor of the proposition that constitutes it content. Acceptance, in turn, is a propositional attitude in which the subject takes or holds the propositional content to be true.</w:t>
      </w:r>
      <w:r w:rsidR="007D0E11" w:rsidRPr="00F01F5C">
        <w:rPr>
          <w:rStyle w:val="FootnoteReference"/>
          <w:rFonts w:eastAsia="Times New Roman" w:cs="Times New Roman"/>
          <w:color w:val="000000"/>
          <w:lang w:eastAsia="it-IT"/>
        </w:rPr>
        <w:footnoteReference w:id="25"/>
      </w:r>
      <w:r w:rsidR="007D0E11" w:rsidRPr="00F01F5C">
        <w:rPr>
          <w:rFonts w:eastAsia="Times New Roman" w:cs="Times New Roman"/>
          <w:color w:val="000000"/>
          <w:lang w:eastAsia="it-IT"/>
        </w:rPr>
        <w:t xml:space="preserve"> It is not clear in what way, if any, Pritchard’s notion of commitment is any different from what </w:t>
      </w:r>
      <w:r w:rsidR="00DB10FC" w:rsidRPr="00F01F5C">
        <w:rPr>
          <w:rFonts w:eastAsia="Times New Roman" w:cs="Times New Roman"/>
          <w:color w:val="000000"/>
          <w:lang w:eastAsia="it-IT"/>
        </w:rPr>
        <w:t xml:space="preserve">these </w:t>
      </w:r>
      <w:r w:rsidR="007D0E11" w:rsidRPr="00F01F5C">
        <w:rPr>
          <w:rFonts w:eastAsia="Times New Roman" w:cs="Times New Roman"/>
          <w:color w:val="000000"/>
          <w:lang w:eastAsia="it-IT"/>
        </w:rPr>
        <w:t>other hinge ep</w:t>
      </w:r>
      <w:r w:rsidR="007839F5" w:rsidRPr="00F01F5C">
        <w:rPr>
          <w:rFonts w:eastAsia="Times New Roman" w:cs="Times New Roman"/>
          <w:color w:val="000000"/>
          <w:lang w:eastAsia="it-IT"/>
        </w:rPr>
        <w:t>istemologists call “acceptance”, or why it need be. For, after all, that attitude, like Pritchard’s commitments, would not be up for epistemic support and assessment.</w:t>
      </w:r>
      <w:r w:rsidR="003B478D">
        <w:rPr>
          <w:rFonts w:eastAsia="Times New Roman" w:cs="Times New Roman"/>
          <w:color w:val="000000"/>
          <w:lang w:eastAsia="it-IT"/>
        </w:rPr>
        <w:t xml:space="preserve"> Furthermore, it would be totally compatible with strong commitment to its contents. After all, people are very strongly committed to things they cannot prove, such as God’s existence, their basic philosophical assumptions, or even the axioms of mathematical theories.</w:t>
      </w:r>
    </w:p>
    <w:p w:rsidR="005D6609" w:rsidRDefault="007839F5" w:rsidP="00BB013F">
      <w:pPr>
        <w:spacing w:after="0" w:line="480" w:lineRule="auto"/>
        <w:ind w:firstLine="708"/>
        <w:jc w:val="both"/>
        <w:textAlignment w:val="baseline"/>
        <w:rPr>
          <w:rFonts w:eastAsia="Times New Roman" w:cs="Times New Roman"/>
          <w:color w:val="000000"/>
          <w:lang w:eastAsia="it-IT"/>
        </w:rPr>
      </w:pPr>
      <w:r w:rsidRPr="00F01F5C">
        <w:rPr>
          <w:rFonts w:eastAsia="Times New Roman" w:cs="Times New Roman"/>
          <w:color w:val="000000"/>
          <w:lang w:eastAsia="it-IT"/>
        </w:rPr>
        <w:lastRenderedPageBreak/>
        <w:t>Be that as it may, a</w:t>
      </w:r>
      <w:r w:rsidR="007D0E11" w:rsidRPr="00F01F5C">
        <w:rPr>
          <w:rFonts w:eastAsia="Times New Roman" w:cs="Times New Roman"/>
          <w:color w:val="000000"/>
          <w:lang w:eastAsia="it-IT"/>
        </w:rPr>
        <w:t xml:space="preserve">ccording to Pritchard, </w:t>
      </w:r>
      <w:r w:rsidRPr="00F01F5C">
        <w:rPr>
          <w:rFonts w:eastAsia="Times New Roman" w:cs="Times New Roman"/>
          <w:color w:val="000000"/>
          <w:lang w:eastAsia="it-IT"/>
        </w:rPr>
        <w:t>his</w:t>
      </w:r>
      <w:r w:rsidR="007D0E11" w:rsidRPr="00F01F5C">
        <w:rPr>
          <w:rFonts w:eastAsia="Times New Roman" w:cs="Times New Roman"/>
          <w:color w:val="000000"/>
          <w:lang w:eastAsia="it-IT"/>
        </w:rPr>
        <w:t xml:space="preserve"> move would block the usual objections to deniers of Closure because Closure holds only for </w:t>
      </w:r>
      <w:r w:rsidR="00644001" w:rsidRPr="00F01F5C">
        <w:rPr>
          <w:rFonts w:eastAsia="Times New Roman" w:cs="Times New Roman"/>
          <w:color w:val="000000"/>
          <w:lang w:eastAsia="it-IT"/>
        </w:rPr>
        <w:t xml:space="preserve">knowledge, which in turn entails </w:t>
      </w:r>
      <w:r w:rsidR="00343DEC">
        <w:rPr>
          <w:rFonts w:eastAsia="Times New Roman" w:cs="Times New Roman"/>
          <w:color w:val="000000"/>
          <w:lang w:eastAsia="it-IT"/>
        </w:rPr>
        <w:t xml:space="preserve">rationally evaluable </w:t>
      </w:r>
      <w:r w:rsidR="007D0E11" w:rsidRPr="00F01F5C">
        <w:rPr>
          <w:rFonts w:eastAsia="Times New Roman" w:cs="Times New Roman"/>
          <w:color w:val="000000"/>
          <w:lang w:eastAsia="it-IT"/>
        </w:rPr>
        <w:t>belief and thus it does not apply to commitments</w:t>
      </w:r>
      <w:r w:rsidR="00644001" w:rsidRPr="00F01F5C">
        <w:rPr>
          <w:rFonts w:eastAsia="Times New Roman" w:cs="Times New Roman"/>
          <w:color w:val="000000"/>
          <w:lang w:eastAsia="it-IT"/>
        </w:rPr>
        <w:t xml:space="preserve">, which are not </w:t>
      </w:r>
      <w:r w:rsidR="00343DEC">
        <w:rPr>
          <w:rFonts w:eastAsia="Times New Roman" w:cs="Times New Roman"/>
          <w:color w:val="000000"/>
          <w:lang w:eastAsia="it-IT"/>
        </w:rPr>
        <w:t xml:space="preserve">rationally evaluable </w:t>
      </w:r>
      <w:r w:rsidR="00644001" w:rsidRPr="00F01F5C">
        <w:rPr>
          <w:rFonts w:eastAsia="Times New Roman" w:cs="Times New Roman"/>
          <w:color w:val="000000"/>
          <w:lang w:eastAsia="it-IT"/>
        </w:rPr>
        <w:t>beliefs</w:t>
      </w:r>
      <w:r w:rsidR="007D0E11" w:rsidRPr="00F01F5C">
        <w:rPr>
          <w:rFonts w:eastAsia="Times New Roman" w:cs="Times New Roman"/>
          <w:color w:val="000000"/>
          <w:lang w:eastAsia="it-IT"/>
        </w:rPr>
        <w:t xml:space="preserve">. </w:t>
      </w:r>
      <w:r w:rsidR="00343DEC">
        <w:rPr>
          <w:rFonts w:eastAsia="Times New Roman" w:cs="Times New Roman"/>
          <w:color w:val="000000"/>
          <w:lang w:eastAsia="it-IT"/>
        </w:rPr>
        <w:t xml:space="preserve">The proposal is simple and elegant, but on reflection it may still </w:t>
      </w:r>
      <w:r w:rsidR="00FD56D0">
        <w:rPr>
          <w:rFonts w:eastAsia="Times New Roman" w:cs="Times New Roman"/>
          <w:color w:val="000000"/>
          <w:lang w:eastAsia="it-IT"/>
        </w:rPr>
        <w:t xml:space="preserve">be </w:t>
      </w:r>
      <w:r w:rsidR="00343DEC">
        <w:rPr>
          <w:rFonts w:eastAsia="Times New Roman" w:cs="Times New Roman"/>
          <w:color w:val="000000"/>
          <w:lang w:eastAsia="it-IT"/>
        </w:rPr>
        <w:t xml:space="preserve">open to objection. For suppose we agree that “There is an external world” is a hinge commitment of ours, which we do not </w:t>
      </w:r>
      <w:r w:rsidR="00343DEC" w:rsidRPr="004E1825">
        <w:rPr>
          <w:rFonts w:eastAsia="Times New Roman" w:cs="Times New Roman"/>
          <w:color w:val="000000"/>
          <w:lang w:eastAsia="it-IT"/>
        </w:rPr>
        <w:t>acquire</w:t>
      </w:r>
      <w:r w:rsidR="00343DEC">
        <w:rPr>
          <w:rFonts w:eastAsia="Times New Roman" w:cs="Times New Roman"/>
          <w:color w:val="000000"/>
          <w:lang w:eastAsia="it-IT"/>
        </w:rPr>
        <w:t xml:space="preserve"> by running anything like the previous argument. Yet, it is a proposition, according to Pritchard. Moreover, it is entailed by “Here is my hand”. Now, if Closure holds, nothing seems to prevent us from applying it</w:t>
      </w:r>
      <w:r w:rsidR="003B478D">
        <w:rPr>
          <w:rFonts w:eastAsia="Times New Roman" w:cs="Times New Roman"/>
          <w:color w:val="000000"/>
          <w:lang w:eastAsia="it-IT"/>
        </w:rPr>
        <w:t xml:space="preserve"> to such a proposition.</w:t>
      </w:r>
      <w:r w:rsidR="00BB013F">
        <w:rPr>
          <w:rFonts w:eastAsia="Times New Roman" w:cs="Times New Roman"/>
          <w:color w:val="000000"/>
          <w:lang w:eastAsia="it-IT"/>
        </w:rPr>
        <w:t xml:space="preserve"> </w:t>
      </w:r>
      <w:r w:rsidR="003B478D">
        <w:rPr>
          <w:rFonts w:eastAsia="Times New Roman" w:cs="Times New Roman"/>
          <w:color w:val="000000"/>
          <w:lang w:eastAsia="it-IT"/>
        </w:rPr>
        <w:t>We would then</w:t>
      </w:r>
      <w:r w:rsidR="00BB013F">
        <w:rPr>
          <w:rFonts w:eastAsia="Times New Roman" w:cs="Times New Roman"/>
          <w:color w:val="000000"/>
          <w:lang w:eastAsia="it-IT"/>
        </w:rPr>
        <w:t xml:space="preserve"> go from knowing that there is a hand here to knowing, and therefore </w:t>
      </w:r>
      <w:r w:rsidR="003B478D">
        <w:rPr>
          <w:rFonts w:eastAsia="Times New Roman" w:cs="Times New Roman"/>
          <w:color w:val="000000"/>
          <w:lang w:eastAsia="it-IT"/>
        </w:rPr>
        <w:t xml:space="preserve">(k-apt) </w:t>
      </w:r>
      <w:r w:rsidR="00BB013F">
        <w:rPr>
          <w:rFonts w:eastAsia="Times New Roman" w:cs="Times New Roman"/>
          <w:color w:val="000000"/>
          <w:lang w:eastAsia="it-IT"/>
        </w:rPr>
        <w:t xml:space="preserve">believing, that there is an external world. </w:t>
      </w:r>
      <w:r w:rsidR="003B478D">
        <w:rPr>
          <w:rFonts w:eastAsia="Times New Roman" w:cs="Times New Roman"/>
          <w:color w:val="000000"/>
          <w:lang w:eastAsia="it-IT"/>
        </w:rPr>
        <w:t xml:space="preserve">That is, if Closure holds and “There is an external world” can be plugged in into one of its instances, we may not have </w:t>
      </w:r>
      <w:r w:rsidR="003B478D" w:rsidRPr="00AE015C">
        <w:rPr>
          <w:rFonts w:eastAsia="Times New Roman" w:cs="Times New Roman"/>
          <w:i/>
          <w:iCs/>
          <w:color w:val="000000"/>
          <w:lang w:eastAsia="it-IT"/>
        </w:rPr>
        <w:t>acquired</w:t>
      </w:r>
      <w:r w:rsidR="003B478D">
        <w:rPr>
          <w:rFonts w:eastAsia="Times New Roman" w:cs="Times New Roman"/>
          <w:color w:val="000000"/>
          <w:lang w:eastAsia="it-IT"/>
        </w:rPr>
        <w:t xml:space="preserve"> that hinge commitment by going through that kind of argument, but it seems that we can </w:t>
      </w:r>
      <w:r w:rsidR="003B478D" w:rsidRPr="00AE015C">
        <w:rPr>
          <w:rFonts w:eastAsia="Times New Roman" w:cs="Times New Roman"/>
          <w:i/>
          <w:iCs/>
          <w:color w:val="000000"/>
          <w:lang w:eastAsia="it-IT"/>
        </w:rPr>
        <w:t>bolster</w:t>
      </w:r>
      <w:r w:rsidR="003B478D">
        <w:rPr>
          <w:rFonts w:eastAsia="Times New Roman" w:cs="Times New Roman"/>
          <w:color w:val="000000"/>
          <w:lang w:eastAsia="it-IT"/>
        </w:rPr>
        <w:t xml:space="preserve"> it into knowledge and k-apt belief after all.</w:t>
      </w:r>
    </w:p>
    <w:p w:rsidR="0081637E" w:rsidRPr="00F01F5C" w:rsidRDefault="00BB013F" w:rsidP="00BB013F">
      <w:pPr>
        <w:spacing w:after="0" w:line="480" w:lineRule="auto"/>
        <w:ind w:firstLine="708"/>
        <w:jc w:val="both"/>
        <w:textAlignment w:val="baseline"/>
        <w:rPr>
          <w:rFonts w:eastAsia="Times New Roman" w:cs="Times New Roman"/>
          <w:color w:val="000000"/>
          <w:lang w:eastAsia="it-IT"/>
        </w:rPr>
      </w:pPr>
      <w:r>
        <w:rPr>
          <w:rFonts w:eastAsia="Times New Roman" w:cs="Times New Roman"/>
          <w:color w:val="000000"/>
          <w:lang w:eastAsia="it-IT"/>
        </w:rPr>
        <w:t xml:space="preserve">Thus, to block this objection it seems that Pritchard will have to concur with other hinge epistemologists that Closure does not hold unconditionally, after all. </w:t>
      </w:r>
      <w:r w:rsidR="00644001" w:rsidRPr="00F01F5C">
        <w:rPr>
          <w:rFonts w:eastAsia="Times New Roman" w:cs="Times New Roman"/>
          <w:color w:val="000000"/>
          <w:lang w:eastAsia="it-IT"/>
        </w:rPr>
        <w:t xml:space="preserve">Rather, its validity </w:t>
      </w:r>
      <w:r w:rsidR="007D0E11" w:rsidRPr="00F01F5C">
        <w:rPr>
          <w:rFonts w:eastAsia="Times New Roman" w:cs="Times New Roman"/>
          <w:color w:val="000000"/>
          <w:lang w:eastAsia="it-IT"/>
        </w:rPr>
        <w:t xml:space="preserve">is limited to known entailments flagging ordinary empirical propositions on both sides of the conditional, or, more generally, propositions which are not hinges and can therefore be known and consequently (justifiably) believed. </w:t>
      </w:r>
      <w:r w:rsidR="005A01AC" w:rsidRPr="00F01F5C">
        <w:rPr>
          <w:rFonts w:eastAsia="Times New Roman" w:cs="Times New Roman"/>
          <w:color w:val="000000"/>
          <w:lang w:eastAsia="it-IT"/>
        </w:rPr>
        <w:t>This way, it would be obvious why we can</w:t>
      </w:r>
      <w:r>
        <w:rPr>
          <w:rFonts w:eastAsia="Times New Roman" w:cs="Times New Roman"/>
          <w:color w:val="000000"/>
          <w:lang w:eastAsia="it-IT"/>
        </w:rPr>
        <w:t>not</w:t>
      </w:r>
      <w:r w:rsidR="005A01AC" w:rsidRPr="00F01F5C">
        <w:rPr>
          <w:rFonts w:eastAsia="Times New Roman" w:cs="Times New Roman"/>
          <w:color w:val="000000"/>
          <w:lang w:eastAsia="it-IT"/>
        </w:rPr>
        <w:t xml:space="preserve"> </w:t>
      </w:r>
      <w:r>
        <w:rPr>
          <w:rFonts w:eastAsia="Times New Roman" w:cs="Times New Roman"/>
          <w:color w:val="000000"/>
          <w:lang w:eastAsia="it-IT"/>
        </w:rPr>
        <w:t>turn our initial commitment to the existence of an</w:t>
      </w:r>
      <w:r w:rsidR="005A01AC" w:rsidRPr="00F01F5C">
        <w:rPr>
          <w:rFonts w:eastAsia="Times New Roman" w:cs="Times New Roman"/>
          <w:color w:val="000000"/>
          <w:lang w:eastAsia="it-IT"/>
        </w:rPr>
        <w:t xml:space="preserve"> external world</w:t>
      </w:r>
      <w:r>
        <w:rPr>
          <w:rFonts w:eastAsia="Times New Roman" w:cs="Times New Roman"/>
          <w:color w:val="000000"/>
          <w:lang w:eastAsia="it-IT"/>
        </w:rPr>
        <w:t xml:space="preserve"> into a knowledgeable belief</w:t>
      </w:r>
      <w:r w:rsidR="005A01AC" w:rsidRPr="00F01F5C">
        <w:rPr>
          <w:rFonts w:eastAsia="Times New Roman" w:cs="Times New Roman"/>
          <w:color w:val="000000"/>
          <w:lang w:eastAsia="it-IT"/>
        </w:rPr>
        <w:t>.</w:t>
      </w:r>
    </w:p>
    <w:p w:rsidR="007D0E11" w:rsidRPr="00F01F5C" w:rsidRDefault="0081637E" w:rsidP="004C6263">
      <w:pPr>
        <w:spacing w:after="0" w:line="480" w:lineRule="auto"/>
        <w:ind w:firstLine="708"/>
        <w:jc w:val="both"/>
        <w:textAlignment w:val="baseline"/>
      </w:pPr>
      <w:r w:rsidRPr="00F01F5C">
        <w:rPr>
          <w:rFonts w:eastAsia="Times New Roman" w:cs="Times New Roman"/>
          <w:color w:val="000000"/>
          <w:lang w:eastAsia="it-IT"/>
        </w:rPr>
        <w:t xml:space="preserve">Furthermore, </w:t>
      </w:r>
      <w:r w:rsidR="005A01AC" w:rsidRPr="00F01F5C">
        <w:rPr>
          <w:rFonts w:eastAsia="Times New Roman" w:cs="Times New Roman"/>
          <w:color w:val="000000"/>
          <w:lang w:eastAsia="it-IT"/>
        </w:rPr>
        <w:t>as we have seen, Pritchard insists on the fact that</w:t>
      </w:r>
      <w:r w:rsidR="007D0E11" w:rsidRPr="00F01F5C">
        <w:rPr>
          <w:rFonts w:eastAsia="Times New Roman" w:cs="Times New Roman"/>
          <w:color w:val="000000"/>
          <w:lang w:eastAsia="it-IT"/>
        </w:rPr>
        <w:t xml:space="preserve"> </w:t>
      </w:r>
      <w:r w:rsidR="005A01AC" w:rsidRPr="00F01F5C">
        <w:rPr>
          <w:rFonts w:eastAsia="Times New Roman" w:cs="Times New Roman"/>
          <w:color w:val="000000"/>
          <w:lang w:eastAsia="it-IT"/>
        </w:rPr>
        <w:t>commitments are visceral—that is,</w:t>
      </w:r>
      <w:r w:rsidRPr="00F01F5C">
        <w:rPr>
          <w:rFonts w:eastAsia="Times New Roman" w:cs="Times New Roman"/>
          <w:color w:val="000000"/>
          <w:lang w:eastAsia="it-IT"/>
        </w:rPr>
        <w:t xml:space="preserve"> a-rational. </w:t>
      </w:r>
      <w:r w:rsidR="005A01AC" w:rsidRPr="00F01F5C">
        <w:rPr>
          <w:rFonts w:eastAsia="Times New Roman" w:cs="Times New Roman"/>
          <w:color w:val="000000"/>
          <w:lang w:eastAsia="it-IT"/>
        </w:rPr>
        <w:t>Their</w:t>
      </w:r>
      <w:r w:rsidRPr="00F01F5C">
        <w:rPr>
          <w:rFonts w:eastAsia="Times New Roman" w:cs="Times New Roman"/>
          <w:color w:val="000000"/>
          <w:lang w:eastAsia="it-IT"/>
        </w:rPr>
        <w:t xml:space="preserve"> being outside the scope of justification ensures that </w:t>
      </w:r>
      <w:r w:rsidR="005A01AC" w:rsidRPr="00F01F5C">
        <w:rPr>
          <w:rFonts w:eastAsia="Times New Roman" w:cs="Times New Roman"/>
          <w:color w:val="000000"/>
          <w:lang w:eastAsia="it-IT"/>
        </w:rPr>
        <w:t>they are not</w:t>
      </w:r>
      <w:r w:rsidRPr="00F01F5C">
        <w:rPr>
          <w:rFonts w:eastAsia="Times New Roman" w:cs="Times New Roman"/>
          <w:color w:val="000000"/>
          <w:lang w:eastAsia="it-IT"/>
        </w:rPr>
        <w:t xml:space="preserve"> </w:t>
      </w:r>
      <w:r w:rsidR="005D6609">
        <w:rPr>
          <w:rFonts w:eastAsia="Times New Roman" w:cs="Times New Roman"/>
          <w:color w:val="000000"/>
          <w:lang w:eastAsia="it-IT"/>
        </w:rPr>
        <w:t xml:space="preserve">k-apt </w:t>
      </w:r>
      <w:r w:rsidRPr="00F01F5C">
        <w:rPr>
          <w:rFonts w:eastAsia="Times New Roman" w:cs="Times New Roman"/>
          <w:color w:val="000000"/>
          <w:lang w:eastAsia="it-IT"/>
        </w:rPr>
        <w:t>belief</w:t>
      </w:r>
      <w:r w:rsidR="005A01AC" w:rsidRPr="00F01F5C">
        <w:rPr>
          <w:rFonts w:eastAsia="Times New Roman" w:cs="Times New Roman"/>
          <w:color w:val="000000"/>
          <w:lang w:eastAsia="it-IT"/>
        </w:rPr>
        <w:t>s</w:t>
      </w:r>
      <w:r w:rsidRPr="00F01F5C">
        <w:rPr>
          <w:rFonts w:eastAsia="Times New Roman" w:cs="Times New Roman"/>
          <w:color w:val="000000"/>
          <w:lang w:eastAsia="it-IT"/>
        </w:rPr>
        <w:t xml:space="preserve">, which could then be impugned by means of a Closure-based skeptical </w:t>
      </w:r>
      <w:r w:rsidR="00232F72" w:rsidRPr="00F01F5C">
        <w:rPr>
          <w:rFonts w:eastAsia="Times New Roman" w:cs="Times New Roman"/>
          <w:color w:val="000000"/>
          <w:lang w:eastAsia="it-IT"/>
        </w:rPr>
        <w:t xml:space="preserve">argument. </w:t>
      </w:r>
      <w:r w:rsidRPr="00F01F5C">
        <w:rPr>
          <w:rFonts w:eastAsia="Times New Roman" w:cs="Times New Roman"/>
          <w:color w:val="000000"/>
          <w:lang w:eastAsia="it-IT"/>
        </w:rPr>
        <w:t>Yet,</w:t>
      </w:r>
      <w:r w:rsidRPr="00F01F5C">
        <w:t xml:space="preserve"> </w:t>
      </w:r>
      <w:r w:rsidR="00DB10FC" w:rsidRPr="00F01F5C">
        <w:t>on reflection</w:t>
      </w:r>
      <w:r w:rsidR="00A17AA0" w:rsidRPr="00F01F5C">
        <w:t>,</w:t>
      </w:r>
      <w:r w:rsidR="00DB10FC" w:rsidRPr="00F01F5C">
        <w:t xml:space="preserve"> </w:t>
      </w:r>
      <w:r w:rsidR="00C83FC3" w:rsidRPr="00F01F5C">
        <w:t>t</w:t>
      </w:r>
      <w:r w:rsidR="00DB10FC" w:rsidRPr="00F01F5C">
        <w:t>o insist on the a-rational</w:t>
      </w:r>
      <w:r w:rsidR="00C83FC3" w:rsidRPr="00F01F5C">
        <w:t xml:space="preserve"> aspect of commitment</w:t>
      </w:r>
      <w:r w:rsidR="00232F72" w:rsidRPr="00F01F5C">
        <w:t>s</w:t>
      </w:r>
      <w:r w:rsidR="00DB10FC" w:rsidRPr="00F01F5C">
        <w:t xml:space="preserve">, while perhaps of help against Cartesian skepticism, </w:t>
      </w:r>
      <w:r w:rsidR="00A17AA0" w:rsidRPr="00F01F5C">
        <w:t xml:space="preserve">may not be </w:t>
      </w:r>
      <w:r w:rsidR="005A01AC" w:rsidRPr="00F01F5C">
        <w:t>so</w:t>
      </w:r>
      <w:r w:rsidR="00A17AA0" w:rsidRPr="00F01F5C">
        <w:t xml:space="preserve"> wise </w:t>
      </w:r>
      <w:r w:rsidR="005A01AC" w:rsidRPr="00F01F5C">
        <w:t xml:space="preserve">a </w:t>
      </w:r>
      <w:r w:rsidR="00A17AA0" w:rsidRPr="00F01F5C">
        <w:t xml:space="preserve">move vis-à-vis a </w:t>
      </w:r>
      <w:proofErr w:type="spellStart"/>
      <w:r w:rsidR="00A17AA0" w:rsidRPr="00F01F5C">
        <w:t>Humean</w:t>
      </w:r>
      <w:proofErr w:type="spellEnd"/>
      <w:r w:rsidR="00A17AA0" w:rsidRPr="00F01F5C">
        <w:t xml:space="preserve"> skeptic. For a </w:t>
      </w:r>
      <w:proofErr w:type="spellStart"/>
      <w:r w:rsidR="00A17AA0" w:rsidRPr="00F01F5C">
        <w:t>Humean</w:t>
      </w:r>
      <w:proofErr w:type="spellEnd"/>
      <w:r w:rsidR="00A17AA0" w:rsidRPr="00F01F5C">
        <w:t xml:space="preserve"> skeptic</w:t>
      </w:r>
      <w:r w:rsidR="00C83FC3" w:rsidRPr="00F01F5C">
        <w:t xml:space="preserve"> would </w:t>
      </w:r>
      <w:r w:rsidR="00A17AA0" w:rsidRPr="00F01F5C">
        <w:t xml:space="preserve">in fact </w:t>
      </w:r>
      <w:r w:rsidR="00C83FC3" w:rsidRPr="00F01F5C">
        <w:t xml:space="preserve">agree that we are </w:t>
      </w:r>
      <w:r w:rsidR="008B2489" w:rsidRPr="00F01F5C">
        <w:t xml:space="preserve">a-rationally and viscerally </w:t>
      </w:r>
      <w:r w:rsidR="00C83FC3" w:rsidRPr="00F01F5C">
        <w:t xml:space="preserve">committed to holding that there is an external world, and </w:t>
      </w:r>
      <w:r w:rsidR="008B2489" w:rsidRPr="00F01F5C">
        <w:t xml:space="preserve">yet </w:t>
      </w:r>
      <w:r w:rsidR="00C83FC3" w:rsidRPr="00F01F5C">
        <w:t xml:space="preserve">insist that since we </w:t>
      </w:r>
      <w:r w:rsidR="00511633" w:rsidRPr="00F01F5C">
        <w:t>don’t possess any epistemic justification for it, it is</w:t>
      </w:r>
      <w:r w:rsidR="00C83FC3" w:rsidRPr="00F01F5C">
        <w:t xml:space="preserve"> </w:t>
      </w:r>
      <w:r w:rsidRPr="00F01F5C">
        <w:t xml:space="preserve">no more than </w:t>
      </w:r>
      <w:r w:rsidR="00C83FC3" w:rsidRPr="00F01F5C">
        <w:t>an arbitrary assumption.</w:t>
      </w:r>
      <w:r w:rsidR="00136C48" w:rsidRPr="00F01F5C">
        <w:t xml:space="preserve"> Thus, by going a-rational, one </w:t>
      </w:r>
      <w:r w:rsidR="001672D1" w:rsidRPr="00F01F5C">
        <w:t>might</w:t>
      </w:r>
      <w:r w:rsidR="00136C48" w:rsidRPr="00F01F5C">
        <w:t xml:space="preserve"> </w:t>
      </w:r>
      <w:r w:rsidR="008B2489" w:rsidRPr="00F01F5C">
        <w:t>shun</w:t>
      </w:r>
      <w:r w:rsidR="00136C48" w:rsidRPr="00F01F5C">
        <w:t xml:space="preserve"> the Scylla of Cartesian skepticism, </w:t>
      </w:r>
      <w:r w:rsidR="001672D1" w:rsidRPr="00F01F5C">
        <w:t xml:space="preserve">but </w:t>
      </w:r>
      <w:r w:rsidR="00136C48" w:rsidRPr="00F01F5C">
        <w:t xml:space="preserve">only to fall in the Charybdis of </w:t>
      </w:r>
      <w:proofErr w:type="spellStart"/>
      <w:r w:rsidR="00136C48" w:rsidRPr="00F01F5C">
        <w:t>Humean</w:t>
      </w:r>
      <w:proofErr w:type="spellEnd"/>
      <w:r w:rsidR="00136C48" w:rsidRPr="00F01F5C">
        <w:t xml:space="preserve"> skepticism.</w:t>
      </w:r>
    </w:p>
    <w:p w:rsidR="00CA4340" w:rsidRPr="00F01F5C" w:rsidRDefault="00CA4340" w:rsidP="004C6263">
      <w:pPr>
        <w:spacing w:after="0" w:line="480" w:lineRule="auto"/>
        <w:ind w:firstLine="708"/>
        <w:jc w:val="both"/>
        <w:textAlignment w:val="baseline"/>
        <w:rPr>
          <w:rFonts w:eastAsia="Times New Roman" w:cs="Times New Roman"/>
          <w:color w:val="000000"/>
          <w:lang w:eastAsia="it-IT"/>
        </w:rPr>
      </w:pPr>
    </w:p>
    <w:p w:rsidR="008B2489" w:rsidRPr="00F01F5C" w:rsidRDefault="008B2489" w:rsidP="004C6263">
      <w:pPr>
        <w:spacing w:line="480" w:lineRule="auto"/>
        <w:jc w:val="both"/>
        <w:rPr>
          <w:b/>
        </w:rPr>
      </w:pPr>
      <w:r w:rsidRPr="00F01F5C">
        <w:rPr>
          <w:rFonts w:eastAsia="Times New Roman" w:cs="Times New Roman"/>
          <w:b/>
          <w:color w:val="000000"/>
          <w:lang w:eastAsia="it-IT"/>
        </w:rPr>
        <w:lastRenderedPageBreak/>
        <w:t xml:space="preserve">4. </w:t>
      </w:r>
      <w:proofErr w:type="spellStart"/>
      <w:r w:rsidRPr="00F01F5C">
        <w:rPr>
          <w:rFonts w:eastAsia="Times New Roman" w:cs="Times New Roman"/>
          <w:b/>
          <w:color w:val="000000"/>
          <w:lang w:eastAsia="it-IT"/>
        </w:rPr>
        <w:t>Coliva’s</w:t>
      </w:r>
      <w:proofErr w:type="spellEnd"/>
      <w:r w:rsidRPr="00F01F5C">
        <w:rPr>
          <w:rFonts w:eastAsia="Times New Roman" w:cs="Times New Roman"/>
          <w:b/>
          <w:color w:val="000000"/>
          <w:lang w:eastAsia="it-IT"/>
        </w:rPr>
        <w:t xml:space="preserve"> </w:t>
      </w:r>
      <w:proofErr w:type="spellStart"/>
      <w:r w:rsidRPr="00F01F5C">
        <w:rPr>
          <w:rFonts w:eastAsia="Times New Roman" w:cs="Times New Roman"/>
          <w:b/>
          <w:color w:val="000000"/>
          <w:lang w:eastAsia="it-IT"/>
        </w:rPr>
        <w:t>constitutivist</w:t>
      </w:r>
      <w:proofErr w:type="spellEnd"/>
      <w:r w:rsidRPr="00F01F5C">
        <w:rPr>
          <w:rFonts w:eastAsia="Times New Roman" w:cs="Times New Roman"/>
          <w:b/>
          <w:color w:val="000000"/>
          <w:lang w:eastAsia="it-IT"/>
        </w:rPr>
        <w:t xml:space="preserve"> hinge epistemology</w:t>
      </w:r>
    </w:p>
    <w:p w:rsidR="008B2489" w:rsidRPr="00F01F5C" w:rsidRDefault="008B2489" w:rsidP="004C6263">
      <w:pPr>
        <w:spacing w:after="0" w:line="480" w:lineRule="auto"/>
        <w:jc w:val="both"/>
        <w:textAlignment w:val="baseline"/>
        <w:rPr>
          <w:rFonts w:eastAsia="Times New Roman" w:cs="Times New Roman"/>
          <w:color w:val="000000"/>
          <w:lang w:eastAsia="it-IT"/>
        </w:rPr>
      </w:pPr>
      <w:r w:rsidRPr="00F01F5C">
        <w:rPr>
          <w:rFonts w:eastAsia="Times New Roman" w:cs="Times New Roman"/>
          <w:color w:val="000000"/>
          <w:lang w:eastAsia="it-IT"/>
        </w:rPr>
        <w:t xml:space="preserve">My own version of hinge epistemology is meant to address </w:t>
      </w:r>
      <w:proofErr w:type="spellStart"/>
      <w:r w:rsidRPr="00F01F5C">
        <w:rPr>
          <w:rFonts w:eastAsia="Times New Roman" w:cs="Times New Roman"/>
          <w:color w:val="000000"/>
          <w:lang w:eastAsia="it-IT"/>
        </w:rPr>
        <w:t>Humean</w:t>
      </w:r>
      <w:proofErr w:type="spellEnd"/>
      <w:r w:rsidRPr="00F01F5C">
        <w:rPr>
          <w:rFonts w:eastAsia="Times New Roman" w:cs="Times New Roman"/>
          <w:color w:val="000000"/>
          <w:lang w:eastAsia="it-IT"/>
        </w:rPr>
        <w:t xml:space="preserve"> skepticism head-on. To that end, I depart considerably from Wittgenstein’s OC, by restricting hinges to those “heavy-weight” assumptions, which make the acquisition of </w:t>
      </w:r>
      <w:r w:rsidR="00A5618A" w:rsidRPr="00F01F5C">
        <w:rPr>
          <w:rFonts w:eastAsia="Times New Roman" w:cs="Times New Roman"/>
          <w:color w:val="000000"/>
          <w:lang w:eastAsia="it-IT"/>
        </w:rPr>
        <w:t>justification</w:t>
      </w:r>
      <w:r w:rsidRPr="00F01F5C">
        <w:rPr>
          <w:rFonts w:eastAsia="Times New Roman" w:cs="Times New Roman"/>
          <w:color w:val="000000"/>
          <w:lang w:eastAsia="it-IT"/>
        </w:rPr>
        <w:t xml:space="preserve">—in particular, of perceptual </w:t>
      </w:r>
      <w:r w:rsidR="00A5618A" w:rsidRPr="00F01F5C">
        <w:rPr>
          <w:rFonts w:eastAsia="Times New Roman" w:cs="Times New Roman"/>
          <w:color w:val="000000"/>
          <w:lang w:eastAsia="it-IT"/>
        </w:rPr>
        <w:t>justification</w:t>
      </w:r>
      <w:r w:rsidRPr="00F01F5C">
        <w:rPr>
          <w:rFonts w:eastAsia="Times New Roman" w:cs="Times New Roman"/>
          <w:color w:val="000000"/>
          <w:lang w:eastAsia="it-IT"/>
        </w:rPr>
        <w:t>—possible. That rules out many of Wittgenstein’s own hinges, like “Here is my hand”, “</w:t>
      </w:r>
      <w:r w:rsidR="00734133" w:rsidRPr="00F01F5C">
        <w:rPr>
          <w:rFonts w:eastAsia="Times New Roman" w:cs="Times New Roman"/>
          <w:color w:val="000000"/>
          <w:lang w:eastAsia="it-IT"/>
        </w:rPr>
        <w:t>My name is N.N</w:t>
      </w:r>
      <w:r w:rsidRPr="00F01F5C">
        <w:rPr>
          <w:rFonts w:eastAsia="Times New Roman" w:cs="Times New Roman"/>
          <w:color w:val="000000"/>
          <w:lang w:eastAsia="it-IT"/>
        </w:rPr>
        <w:t>.” and many more. This is a price worth paying, however, because no doubt those propositions are de facto</w:t>
      </w:r>
      <w:r w:rsidR="00A5618A" w:rsidRPr="00F01F5C">
        <w:rPr>
          <w:rFonts w:eastAsia="Times New Roman" w:cs="Times New Roman"/>
          <w:color w:val="000000"/>
          <w:lang w:eastAsia="it-IT"/>
        </w:rPr>
        <w:t xml:space="preserve"> exempted from doubt and inquiry, but they need not be presupposed in order to acquire justification—perceptual or otherwise</w:t>
      </w:r>
      <w:r w:rsidR="00B55294" w:rsidRPr="00F01F5C">
        <w:rPr>
          <w:rFonts w:eastAsia="Times New Roman" w:cs="Times New Roman"/>
          <w:color w:val="000000"/>
          <w:lang w:eastAsia="it-IT"/>
        </w:rPr>
        <w:t>—and may, conceivably, turn out to be false</w:t>
      </w:r>
      <w:r w:rsidR="00A5618A" w:rsidRPr="00F01F5C">
        <w:rPr>
          <w:rFonts w:eastAsia="Times New Roman" w:cs="Times New Roman"/>
          <w:color w:val="000000"/>
          <w:lang w:eastAsia="it-IT"/>
        </w:rPr>
        <w:t xml:space="preserve">. Furthermore, </w:t>
      </w:r>
      <w:r w:rsidR="00B55294" w:rsidRPr="00F01F5C">
        <w:rPr>
          <w:rFonts w:eastAsia="Times New Roman" w:cs="Times New Roman"/>
          <w:color w:val="000000"/>
          <w:lang w:eastAsia="it-IT"/>
        </w:rPr>
        <w:t xml:space="preserve">being too liberal with respect to hinges may easily </w:t>
      </w:r>
      <w:r w:rsidR="00A5618A" w:rsidRPr="00F01F5C">
        <w:rPr>
          <w:rFonts w:eastAsia="Times New Roman" w:cs="Times New Roman"/>
          <w:color w:val="000000"/>
          <w:lang w:eastAsia="it-IT"/>
        </w:rPr>
        <w:t>open the way to epistemic relativism</w:t>
      </w:r>
      <w:r w:rsidR="00B55294" w:rsidRPr="00F01F5C">
        <w:rPr>
          <w:rFonts w:eastAsia="Times New Roman" w:cs="Times New Roman"/>
          <w:color w:val="000000"/>
          <w:lang w:eastAsia="it-IT"/>
        </w:rPr>
        <w:t>—something I would rather avoid</w:t>
      </w:r>
      <w:r w:rsidR="00A5618A" w:rsidRPr="00F01F5C">
        <w:rPr>
          <w:rFonts w:eastAsia="Times New Roman" w:cs="Times New Roman"/>
          <w:color w:val="000000"/>
          <w:lang w:eastAsia="it-IT"/>
        </w:rPr>
        <w:t>.</w:t>
      </w:r>
      <w:r w:rsidR="002209CF">
        <w:rPr>
          <w:rFonts w:eastAsia="Times New Roman" w:cs="Times New Roman"/>
          <w:color w:val="000000"/>
          <w:lang w:eastAsia="it-IT"/>
        </w:rPr>
        <w:t xml:space="preserve"> In addition, it would give rise to a demarcation problem, since there would be almost no principled difference between hinges and entrenched empirical propositions or generalizations. </w:t>
      </w:r>
    </w:p>
    <w:p w:rsidR="00A5618A" w:rsidRPr="00F01F5C" w:rsidRDefault="00B55294" w:rsidP="004C6263">
      <w:pPr>
        <w:spacing w:after="0" w:line="480" w:lineRule="auto"/>
        <w:ind w:firstLine="720"/>
        <w:jc w:val="both"/>
        <w:textAlignment w:val="baseline"/>
        <w:rPr>
          <w:rFonts w:eastAsia="Times New Roman" w:cs="Times New Roman"/>
          <w:color w:val="000000"/>
          <w:lang w:eastAsia="it-IT"/>
        </w:rPr>
      </w:pPr>
      <w:r w:rsidRPr="00F01F5C">
        <w:rPr>
          <w:rFonts w:eastAsia="Times New Roman" w:cs="Times New Roman"/>
          <w:color w:val="000000"/>
          <w:lang w:eastAsia="it-IT"/>
        </w:rPr>
        <w:t xml:space="preserve">Thus, I focus on hinges such as “There is an external world” (or “There are physical objects”), “My sense organs are mostly reliable”, “I am not a BIV”, </w:t>
      </w:r>
      <w:r w:rsidR="001E1332" w:rsidRPr="00F01F5C">
        <w:rPr>
          <w:rFonts w:eastAsia="Times New Roman" w:cs="Times New Roman"/>
          <w:color w:val="000000"/>
          <w:lang w:eastAsia="it-IT"/>
        </w:rPr>
        <w:t xml:space="preserve">and </w:t>
      </w:r>
      <w:r w:rsidRPr="00F01F5C">
        <w:rPr>
          <w:rFonts w:eastAsia="Times New Roman" w:cs="Times New Roman"/>
          <w:color w:val="000000"/>
          <w:lang w:eastAsia="it-IT"/>
        </w:rPr>
        <w:t xml:space="preserve">“I am not the victim of a lucid and sustained dream”, which are all necessary assumptions for perceptual justification and knowledge to be possible. </w:t>
      </w:r>
      <w:r w:rsidR="006A1151" w:rsidRPr="00F01F5C">
        <w:rPr>
          <w:rFonts w:eastAsia="Times New Roman" w:cs="Times New Roman"/>
          <w:color w:val="000000"/>
          <w:lang w:eastAsia="it-IT"/>
        </w:rPr>
        <w:t>As remarked in §3, thanks to such assumptions, we can take the content of our experiences at face value to form defeasible justifications for beliefs about objects in our surroundings. Indeed, this is the gist of the moderate account of perceptual justification I have defended at least since Coliva 2015.</w:t>
      </w:r>
    </w:p>
    <w:p w:rsidR="006A1151" w:rsidRPr="00F01F5C" w:rsidRDefault="006A1151" w:rsidP="004C6263">
      <w:pPr>
        <w:spacing w:after="0" w:line="480" w:lineRule="auto"/>
        <w:ind w:firstLine="720"/>
        <w:jc w:val="both"/>
        <w:textAlignment w:val="baseline"/>
        <w:rPr>
          <w:rFonts w:eastAsia="Times New Roman" w:cs="Times New Roman"/>
          <w:color w:val="000000"/>
          <w:lang w:eastAsia="it-IT"/>
        </w:rPr>
      </w:pPr>
      <w:r w:rsidRPr="00F01F5C">
        <w:rPr>
          <w:rFonts w:eastAsia="Times New Roman" w:cs="Times New Roman"/>
          <w:color w:val="000000"/>
          <w:lang w:eastAsia="it-IT"/>
        </w:rPr>
        <w:t>Again, as already at least implicitly remarked</w:t>
      </w:r>
      <w:r w:rsidR="00D27340" w:rsidRPr="00F01F5C">
        <w:rPr>
          <w:rFonts w:eastAsia="Times New Roman" w:cs="Times New Roman"/>
          <w:color w:val="000000"/>
          <w:lang w:eastAsia="it-IT"/>
        </w:rPr>
        <w:t xml:space="preserve"> in the previous section</w:t>
      </w:r>
      <w:r w:rsidRPr="00F01F5C">
        <w:rPr>
          <w:rFonts w:eastAsia="Times New Roman" w:cs="Times New Roman"/>
          <w:color w:val="000000"/>
          <w:lang w:eastAsia="it-IT"/>
        </w:rPr>
        <w:t>, if that is the nature and role of these</w:t>
      </w:r>
      <w:r w:rsidR="00D27340" w:rsidRPr="00F01F5C">
        <w:rPr>
          <w:rFonts w:eastAsia="Times New Roman" w:cs="Times New Roman"/>
          <w:color w:val="000000"/>
          <w:lang w:eastAsia="it-IT"/>
        </w:rPr>
        <w:t xml:space="preserve"> hinges, then arguments such as</w:t>
      </w:r>
    </w:p>
    <w:p w:rsidR="00D27340" w:rsidRPr="00F01F5C" w:rsidRDefault="00D27340" w:rsidP="004C6263">
      <w:pPr>
        <w:spacing w:after="0" w:line="480" w:lineRule="auto"/>
        <w:jc w:val="both"/>
        <w:textAlignment w:val="baseline"/>
        <w:rPr>
          <w:rFonts w:eastAsia="Times New Roman" w:cs="Times New Roman"/>
          <w:color w:val="000000"/>
          <w:lang w:eastAsia="it-IT"/>
        </w:rPr>
      </w:pPr>
    </w:p>
    <w:p w:rsidR="006A1151" w:rsidRPr="00F01F5C" w:rsidRDefault="006A1151" w:rsidP="004C6263">
      <w:pPr>
        <w:pStyle w:val="ListParagraph"/>
        <w:numPr>
          <w:ilvl w:val="0"/>
          <w:numId w:val="5"/>
        </w:numPr>
        <w:spacing w:after="0" w:line="480" w:lineRule="auto"/>
        <w:jc w:val="both"/>
        <w:textAlignment w:val="baseline"/>
        <w:rPr>
          <w:rFonts w:eastAsia="Times New Roman" w:cs="Times New Roman"/>
          <w:color w:val="000000"/>
          <w:lang w:eastAsia="it-IT"/>
        </w:rPr>
      </w:pPr>
      <w:r w:rsidRPr="00F01F5C">
        <w:rPr>
          <w:rFonts w:eastAsia="Times New Roman" w:cs="Times New Roman"/>
          <w:color w:val="000000"/>
          <w:lang w:eastAsia="it-IT"/>
        </w:rPr>
        <w:t>Here is a hand</w:t>
      </w:r>
    </w:p>
    <w:p w:rsidR="006A1151" w:rsidRPr="00F01F5C" w:rsidRDefault="006A1151" w:rsidP="004C6263">
      <w:pPr>
        <w:pStyle w:val="ListParagraph"/>
        <w:numPr>
          <w:ilvl w:val="0"/>
          <w:numId w:val="5"/>
        </w:numPr>
        <w:spacing w:after="0" w:line="480" w:lineRule="auto"/>
        <w:jc w:val="both"/>
        <w:textAlignment w:val="baseline"/>
        <w:rPr>
          <w:rFonts w:eastAsia="Times New Roman" w:cs="Times New Roman"/>
          <w:color w:val="000000"/>
          <w:lang w:eastAsia="it-IT"/>
        </w:rPr>
      </w:pPr>
      <w:r w:rsidRPr="00F01F5C">
        <w:rPr>
          <w:rFonts w:eastAsia="Times New Roman" w:cs="Times New Roman"/>
          <w:color w:val="000000"/>
          <w:lang w:eastAsia="it-IT"/>
        </w:rPr>
        <w:t>If there is a hand here, there is an external world</w:t>
      </w:r>
    </w:p>
    <w:p w:rsidR="006A1151" w:rsidRPr="00F01F5C" w:rsidRDefault="006A1151" w:rsidP="004C6263">
      <w:pPr>
        <w:pStyle w:val="ListParagraph"/>
        <w:numPr>
          <w:ilvl w:val="0"/>
          <w:numId w:val="5"/>
        </w:numPr>
        <w:spacing w:after="0" w:line="480" w:lineRule="auto"/>
        <w:jc w:val="both"/>
        <w:textAlignment w:val="baseline"/>
        <w:rPr>
          <w:rFonts w:eastAsia="Times New Roman" w:cs="Times New Roman"/>
          <w:color w:val="000000"/>
          <w:lang w:eastAsia="it-IT"/>
        </w:rPr>
      </w:pPr>
      <w:r w:rsidRPr="00F01F5C">
        <w:rPr>
          <w:rFonts w:eastAsia="Times New Roman" w:cs="Times New Roman"/>
          <w:color w:val="000000"/>
          <w:lang w:eastAsia="it-IT"/>
        </w:rPr>
        <w:t>There is an external world</w:t>
      </w:r>
    </w:p>
    <w:p w:rsidR="006A1151" w:rsidRPr="00F01F5C" w:rsidRDefault="006A1151" w:rsidP="004C6263">
      <w:pPr>
        <w:spacing w:after="0" w:line="480" w:lineRule="auto"/>
        <w:jc w:val="both"/>
        <w:textAlignment w:val="baseline"/>
        <w:rPr>
          <w:rFonts w:eastAsia="Times New Roman" w:cs="Times New Roman"/>
          <w:color w:val="000000"/>
          <w:lang w:eastAsia="it-IT"/>
        </w:rPr>
      </w:pPr>
    </w:p>
    <w:p w:rsidR="006A1151" w:rsidRPr="00F01F5C" w:rsidRDefault="00D27340" w:rsidP="004C6263">
      <w:pPr>
        <w:spacing w:after="0" w:line="480" w:lineRule="auto"/>
        <w:jc w:val="both"/>
        <w:textAlignment w:val="baseline"/>
        <w:rPr>
          <w:rFonts w:eastAsia="Times New Roman" w:cs="Times New Roman"/>
          <w:color w:val="000000"/>
          <w:lang w:eastAsia="it-IT"/>
        </w:rPr>
      </w:pPr>
      <w:r w:rsidRPr="00F01F5C">
        <w:rPr>
          <w:rFonts w:eastAsia="Times New Roman" w:cs="Times New Roman"/>
          <w:color w:val="000000"/>
          <w:lang w:eastAsia="it-IT"/>
        </w:rPr>
        <w:lastRenderedPageBreak/>
        <w:t>cannot generate a justification for the conclusion, since the perceptual</w:t>
      </w:r>
      <w:r w:rsidR="006A1151" w:rsidRPr="00F01F5C">
        <w:rPr>
          <w:rFonts w:eastAsia="Times New Roman" w:cs="Times New Roman"/>
          <w:color w:val="000000"/>
          <w:lang w:eastAsia="it-IT"/>
        </w:rPr>
        <w:t xml:space="preserve"> justification we have for (I</w:t>
      </w:r>
      <w:r w:rsidRPr="00F01F5C">
        <w:rPr>
          <w:rFonts w:eastAsia="Times New Roman" w:cs="Times New Roman"/>
          <w:color w:val="000000"/>
          <w:lang w:eastAsia="it-IT"/>
        </w:rPr>
        <w:t xml:space="preserve">) </w:t>
      </w:r>
      <w:r w:rsidR="006A1151" w:rsidRPr="00F01F5C">
        <w:rPr>
          <w:rFonts w:eastAsia="Times New Roman" w:cs="Times New Roman"/>
          <w:color w:val="000000"/>
          <w:lang w:eastAsia="it-IT"/>
        </w:rPr>
        <w:t>depends on taking (III) for granted</w:t>
      </w:r>
      <w:r w:rsidRPr="00F01F5C">
        <w:rPr>
          <w:rFonts w:eastAsia="Times New Roman" w:cs="Times New Roman"/>
          <w:color w:val="000000"/>
          <w:lang w:eastAsia="it-IT"/>
        </w:rPr>
        <w:t>. That is, such an argument would fail to transmit justification from the premises to the conclusion, since presupposing the latter is necessary to have justification for (I) in the first place.</w:t>
      </w:r>
      <w:r w:rsidRPr="00F01F5C">
        <w:rPr>
          <w:rStyle w:val="FootnoteReference"/>
          <w:rFonts w:eastAsia="Times New Roman" w:cs="Times New Roman"/>
          <w:color w:val="000000"/>
          <w:lang w:eastAsia="it-IT"/>
        </w:rPr>
        <w:footnoteReference w:id="26"/>
      </w:r>
      <w:r w:rsidRPr="00F01F5C">
        <w:rPr>
          <w:rFonts w:eastAsia="Times New Roman" w:cs="Times New Roman"/>
          <w:color w:val="000000"/>
          <w:lang w:eastAsia="it-IT"/>
        </w:rPr>
        <w:t xml:space="preserve"> </w:t>
      </w:r>
    </w:p>
    <w:p w:rsidR="008469E2" w:rsidRPr="00F01F5C" w:rsidRDefault="00D27340" w:rsidP="004C6263">
      <w:pPr>
        <w:spacing w:after="0" w:line="480" w:lineRule="auto"/>
        <w:ind w:firstLine="708"/>
        <w:jc w:val="both"/>
        <w:textAlignment w:val="baseline"/>
        <w:rPr>
          <w:rFonts w:eastAsia="Times New Roman" w:cs="Times New Roman"/>
          <w:color w:val="000000"/>
          <w:lang w:eastAsia="it-IT"/>
        </w:rPr>
      </w:pPr>
      <w:r w:rsidRPr="00F01F5C">
        <w:rPr>
          <w:rFonts w:eastAsia="Times New Roman" w:cs="Times New Roman"/>
          <w:color w:val="000000"/>
          <w:lang w:eastAsia="it-IT"/>
        </w:rPr>
        <w:t>Since, for reasons I have explored at length in Coliva (2015</w:t>
      </w:r>
      <w:r w:rsidR="008469E2" w:rsidRPr="00F01F5C">
        <w:rPr>
          <w:rFonts w:eastAsia="Times New Roman" w:cs="Times New Roman"/>
          <w:color w:val="000000"/>
          <w:lang w:eastAsia="it-IT"/>
        </w:rPr>
        <w:t xml:space="preserve">, chapter 2), I do not think it is possible to justify (III) independently by means of a priori arguments or through Wright-style entitlements, it turns out that (III) is in fact unjustified and unjustifiable (and, a fortiori, neither known nor knowable). Yet, if this is correct, it means that </w:t>
      </w:r>
      <w:r w:rsidR="006A1151" w:rsidRPr="00F01F5C">
        <w:rPr>
          <w:rFonts w:eastAsia="Times New Roman" w:cs="Times New Roman"/>
          <w:color w:val="000000"/>
          <w:lang w:eastAsia="it-IT"/>
        </w:rPr>
        <w:t xml:space="preserve">Closure for knowledge </w:t>
      </w:r>
      <w:r w:rsidR="008469E2" w:rsidRPr="00F01F5C">
        <w:rPr>
          <w:rFonts w:eastAsia="Times New Roman" w:cs="Times New Roman"/>
          <w:color w:val="000000"/>
          <w:lang w:eastAsia="it-IT"/>
        </w:rPr>
        <w:t>fails in this case, and in all other cases in which the conclusion of this patter</w:t>
      </w:r>
      <w:r w:rsidR="00EE56DB" w:rsidRPr="00F01F5C">
        <w:rPr>
          <w:rFonts w:eastAsia="Times New Roman" w:cs="Times New Roman"/>
          <w:color w:val="000000"/>
          <w:lang w:eastAsia="it-IT"/>
        </w:rPr>
        <w:t>n</w:t>
      </w:r>
      <w:r w:rsidR="008469E2" w:rsidRPr="00F01F5C">
        <w:rPr>
          <w:rFonts w:eastAsia="Times New Roman" w:cs="Times New Roman"/>
          <w:color w:val="000000"/>
          <w:lang w:eastAsia="it-IT"/>
        </w:rPr>
        <w:t xml:space="preserve"> of argument would be a heavy-weight assumption which is necessary in order to have a justification for a premise like (I). Thus, in my view, Closure does</w:t>
      </w:r>
      <w:r w:rsidR="006A1151" w:rsidRPr="00F01F5C">
        <w:rPr>
          <w:rFonts w:eastAsia="Times New Roman" w:cs="Times New Roman"/>
          <w:color w:val="000000"/>
          <w:lang w:eastAsia="it-IT"/>
        </w:rPr>
        <w:t xml:space="preserve"> not </w:t>
      </w:r>
      <w:r w:rsidR="008469E2" w:rsidRPr="00F01F5C">
        <w:rPr>
          <w:rFonts w:eastAsia="Times New Roman" w:cs="Times New Roman"/>
          <w:color w:val="000000"/>
          <w:lang w:eastAsia="it-IT"/>
        </w:rPr>
        <w:t xml:space="preserve">hold </w:t>
      </w:r>
      <w:r w:rsidR="006A1151" w:rsidRPr="00F01F5C">
        <w:rPr>
          <w:rFonts w:eastAsia="Times New Roman" w:cs="Times New Roman"/>
          <w:color w:val="000000"/>
          <w:lang w:eastAsia="it-IT"/>
        </w:rPr>
        <w:t xml:space="preserve">unrestrictedly. Yet, its failure </w:t>
      </w:r>
      <w:r w:rsidR="008469E2" w:rsidRPr="00F01F5C">
        <w:rPr>
          <w:rFonts w:eastAsia="Times New Roman" w:cs="Times New Roman"/>
          <w:color w:val="000000"/>
          <w:lang w:eastAsia="it-IT"/>
        </w:rPr>
        <w:t>in such cases is</w:t>
      </w:r>
      <w:r w:rsidR="006A1151" w:rsidRPr="00F01F5C">
        <w:rPr>
          <w:rFonts w:eastAsia="Times New Roman" w:cs="Times New Roman"/>
          <w:color w:val="000000"/>
          <w:lang w:eastAsia="it-IT"/>
        </w:rPr>
        <w:t xml:space="preserve"> compatible with </w:t>
      </w:r>
      <w:r w:rsidR="008469E2" w:rsidRPr="00F01F5C">
        <w:rPr>
          <w:rFonts w:eastAsia="Times New Roman" w:cs="Times New Roman"/>
          <w:color w:val="000000"/>
          <w:lang w:eastAsia="it-IT"/>
        </w:rPr>
        <w:t>its</w:t>
      </w:r>
      <w:r w:rsidR="006A1151" w:rsidRPr="00F01F5C">
        <w:rPr>
          <w:rFonts w:eastAsia="Times New Roman" w:cs="Times New Roman"/>
          <w:color w:val="000000"/>
          <w:lang w:eastAsia="it-IT"/>
        </w:rPr>
        <w:t xml:space="preserve"> retention in </w:t>
      </w:r>
      <w:r w:rsidR="008469E2" w:rsidRPr="00F01F5C">
        <w:rPr>
          <w:rFonts w:eastAsia="Times New Roman" w:cs="Times New Roman"/>
          <w:color w:val="000000"/>
          <w:lang w:eastAsia="it-IT"/>
        </w:rPr>
        <w:t>all those</w:t>
      </w:r>
      <w:r w:rsidR="006A1151" w:rsidRPr="00F01F5C">
        <w:rPr>
          <w:rFonts w:eastAsia="Times New Roman" w:cs="Times New Roman"/>
          <w:color w:val="000000"/>
          <w:lang w:eastAsia="it-IT"/>
        </w:rPr>
        <w:t xml:space="preserve"> </w:t>
      </w:r>
      <w:r w:rsidR="008469E2" w:rsidRPr="00F01F5C">
        <w:rPr>
          <w:rFonts w:eastAsia="Times New Roman" w:cs="Times New Roman"/>
          <w:color w:val="000000"/>
          <w:lang w:eastAsia="it-IT"/>
        </w:rPr>
        <w:t xml:space="preserve">cases in which </w:t>
      </w:r>
      <w:r w:rsidR="006A1151" w:rsidRPr="00F01F5C">
        <w:rPr>
          <w:rFonts w:eastAsia="Times New Roman" w:cs="Times New Roman"/>
          <w:color w:val="000000"/>
          <w:lang w:eastAsia="it-IT"/>
        </w:rPr>
        <w:t>ordinary empirical propositions are involved.</w:t>
      </w:r>
      <w:r w:rsidR="006A1151" w:rsidRPr="00F01F5C">
        <w:rPr>
          <w:rStyle w:val="FootnoteReference"/>
          <w:rFonts w:eastAsia="Times New Roman" w:cs="Times New Roman"/>
          <w:color w:val="000000"/>
          <w:lang w:eastAsia="it-IT"/>
        </w:rPr>
        <w:footnoteReference w:id="27"/>
      </w:r>
    </w:p>
    <w:p w:rsidR="008469E2" w:rsidRPr="00F01F5C" w:rsidRDefault="008469E2" w:rsidP="004C6263">
      <w:pPr>
        <w:spacing w:after="0" w:line="480" w:lineRule="auto"/>
        <w:ind w:firstLine="708"/>
        <w:jc w:val="both"/>
        <w:textAlignment w:val="baseline"/>
        <w:rPr>
          <w:rFonts w:eastAsia="Times New Roman" w:cs="Times New Roman"/>
          <w:color w:val="000000"/>
          <w:lang w:eastAsia="it-IT"/>
        </w:rPr>
      </w:pPr>
      <w:r w:rsidRPr="00F01F5C">
        <w:rPr>
          <w:rFonts w:eastAsia="Times New Roman" w:cs="Times New Roman"/>
          <w:color w:val="000000"/>
          <w:lang w:eastAsia="it-IT"/>
        </w:rPr>
        <w:t xml:space="preserve">This, in turn, allows me to counter Cartesian skepticism by holding, first, that “I am not a BIV” and “I am not the victim of a lucid and sustained dream” play a hinge-like role and need to be presupposed in order for perceptual justification to be possible. If so, they cannot be justified either through an argument like the previous one (with either of them in place of </w:t>
      </w:r>
      <w:r w:rsidR="002209CF">
        <w:rPr>
          <w:rFonts w:eastAsia="Times New Roman" w:cs="Times New Roman"/>
          <w:color w:val="000000"/>
          <w:lang w:eastAsia="it-IT"/>
        </w:rPr>
        <w:t xml:space="preserve">(III) </w:t>
      </w:r>
      <w:r w:rsidRPr="00F01F5C">
        <w:rPr>
          <w:rFonts w:eastAsia="Times New Roman" w:cs="Times New Roman"/>
          <w:color w:val="000000"/>
          <w:lang w:eastAsia="it-IT"/>
        </w:rPr>
        <w:t>“there is an external world”</w:t>
      </w:r>
      <w:r w:rsidR="00EE56DB" w:rsidRPr="00F01F5C">
        <w:rPr>
          <w:rFonts w:eastAsia="Times New Roman" w:cs="Times New Roman"/>
          <w:color w:val="000000"/>
          <w:lang w:eastAsia="it-IT"/>
        </w:rPr>
        <w:t xml:space="preserve">), or in any other way. </w:t>
      </w:r>
      <w:r w:rsidR="002209CF">
        <w:rPr>
          <w:rFonts w:eastAsia="Times New Roman" w:cs="Times New Roman"/>
          <w:color w:val="000000"/>
          <w:lang w:eastAsia="it-IT"/>
        </w:rPr>
        <w:t>Hence,</w:t>
      </w:r>
      <w:r w:rsidR="00AA7DC7" w:rsidRPr="00F01F5C">
        <w:rPr>
          <w:rFonts w:eastAsia="Times New Roman" w:cs="Times New Roman"/>
          <w:color w:val="000000"/>
          <w:lang w:eastAsia="it-IT"/>
        </w:rPr>
        <w:t xml:space="preserve"> Closure fails for them. Therefore, </w:t>
      </w:r>
      <w:r w:rsidR="00EE56DB" w:rsidRPr="00F01F5C">
        <w:rPr>
          <w:rFonts w:eastAsia="Times New Roman" w:cs="Times New Roman"/>
          <w:color w:val="000000"/>
          <w:lang w:eastAsia="it-IT"/>
        </w:rPr>
        <w:t>even if we don’t know either of them, we can still know ordinary empirical propositions such as (I).</w:t>
      </w:r>
    </w:p>
    <w:p w:rsidR="00EE56DB" w:rsidRPr="00F01F5C" w:rsidRDefault="00EE56DB" w:rsidP="004C6263">
      <w:pPr>
        <w:spacing w:after="0" w:line="480" w:lineRule="auto"/>
        <w:ind w:firstLine="708"/>
        <w:jc w:val="both"/>
        <w:textAlignment w:val="baseline"/>
        <w:rPr>
          <w:rFonts w:eastAsia="Times New Roman" w:cs="Times New Roman"/>
          <w:color w:val="000000"/>
          <w:lang w:eastAsia="it-IT"/>
        </w:rPr>
      </w:pPr>
      <w:r w:rsidRPr="00F01F5C">
        <w:rPr>
          <w:rFonts w:eastAsia="Times New Roman" w:cs="Times New Roman"/>
          <w:color w:val="000000"/>
          <w:lang w:eastAsia="it-IT"/>
        </w:rPr>
        <w:t xml:space="preserve">Notice that this style of reply </w:t>
      </w:r>
      <w:r w:rsidR="002A2BD0" w:rsidRPr="00F01F5C">
        <w:rPr>
          <w:rFonts w:eastAsia="Times New Roman" w:cs="Times New Roman"/>
          <w:color w:val="000000"/>
          <w:lang w:eastAsia="it-IT"/>
        </w:rPr>
        <w:t xml:space="preserve">to Cartesian skepticism does not take issue with the </w:t>
      </w:r>
      <w:r w:rsidR="00AB1A9E" w:rsidRPr="00F01F5C">
        <w:rPr>
          <w:rFonts w:eastAsia="Times New Roman" w:cs="Times New Roman"/>
          <w:color w:val="000000"/>
          <w:lang w:eastAsia="it-IT"/>
        </w:rPr>
        <w:t xml:space="preserve">conceivability of </w:t>
      </w:r>
      <w:r w:rsidR="002A2BD0" w:rsidRPr="00F01F5C">
        <w:rPr>
          <w:rFonts w:eastAsia="Times New Roman" w:cs="Times New Roman"/>
          <w:color w:val="000000"/>
          <w:lang w:eastAsia="it-IT"/>
        </w:rPr>
        <w:t>Cartesian skeptical scenarios. In this sense, my account departs from Wittgenstein’s, who notoriously claims that since “I am dreaming” cannot be coherently asserted or thought,</w:t>
      </w:r>
      <w:r w:rsidR="002A2BD0" w:rsidRPr="00F01F5C">
        <w:rPr>
          <w:rStyle w:val="FootnoteReference"/>
          <w:rFonts w:eastAsia="Times New Roman" w:cs="Times New Roman"/>
          <w:color w:val="000000"/>
          <w:lang w:eastAsia="it-IT"/>
        </w:rPr>
        <w:footnoteReference w:id="28"/>
      </w:r>
      <w:r w:rsidR="002A2BD0" w:rsidRPr="00F01F5C">
        <w:rPr>
          <w:rFonts w:eastAsia="Times New Roman" w:cs="Times New Roman"/>
          <w:color w:val="000000"/>
          <w:lang w:eastAsia="it-IT"/>
        </w:rPr>
        <w:t xml:space="preserve"> its negation can’t either. In other words, for Wittgenstein, </w:t>
      </w:r>
      <w:r w:rsidR="00AB1A9E" w:rsidRPr="00F01F5C">
        <w:rPr>
          <w:rFonts w:eastAsia="Times New Roman" w:cs="Times New Roman"/>
          <w:color w:val="000000"/>
          <w:lang w:eastAsia="it-IT"/>
        </w:rPr>
        <w:t>“I am not now dreaming”</w:t>
      </w:r>
      <w:r w:rsidR="002A2BD0" w:rsidRPr="00F01F5C">
        <w:rPr>
          <w:rFonts w:eastAsia="Times New Roman" w:cs="Times New Roman"/>
          <w:color w:val="000000"/>
          <w:lang w:eastAsia="it-IT"/>
        </w:rPr>
        <w:t xml:space="preserve"> would be a piece of nonsense, which could not figure as a conclusion of </w:t>
      </w:r>
      <w:r w:rsidR="002A2BD0" w:rsidRPr="00F01F5C">
        <w:rPr>
          <w:rFonts w:eastAsia="Times New Roman" w:cs="Times New Roman"/>
          <w:color w:val="000000"/>
          <w:lang w:eastAsia="it-IT"/>
        </w:rPr>
        <w:lastRenderedPageBreak/>
        <w:t xml:space="preserve">any sensible argument. Yet, I think this is </w:t>
      </w:r>
      <w:proofErr w:type="gramStart"/>
      <w:r w:rsidR="002A2BD0" w:rsidRPr="00F01F5C">
        <w:rPr>
          <w:rFonts w:eastAsia="Times New Roman" w:cs="Times New Roman"/>
          <w:color w:val="000000"/>
          <w:lang w:eastAsia="it-IT"/>
        </w:rPr>
        <w:t>actually for</w:t>
      </w:r>
      <w:proofErr w:type="gramEnd"/>
      <w:r w:rsidR="002A2BD0" w:rsidRPr="00F01F5C">
        <w:rPr>
          <w:rFonts w:eastAsia="Times New Roman" w:cs="Times New Roman"/>
          <w:color w:val="000000"/>
          <w:lang w:eastAsia="it-IT"/>
        </w:rPr>
        <w:t xml:space="preserve"> the better, since Wittgenstein’s claim is contentious, as it depends on a conception of meaning as use that is not without problems and that may not be </w:t>
      </w:r>
      <w:r w:rsidR="00AB1A9E" w:rsidRPr="00F01F5C">
        <w:rPr>
          <w:rFonts w:eastAsia="Times New Roman" w:cs="Times New Roman"/>
          <w:color w:val="000000"/>
          <w:lang w:eastAsia="it-IT"/>
        </w:rPr>
        <w:t>commonly agreed upon</w:t>
      </w:r>
      <w:r w:rsidR="002A2BD0" w:rsidRPr="00F01F5C">
        <w:rPr>
          <w:rFonts w:eastAsia="Times New Roman" w:cs="Times New Roman"/>
          <w:color w:val="000000"/>
          <w:lang w:eastAsia="it-IT"/>
        </w:rPr>
        <w:t xml:space="preserve">. Furthermore, it allows </w:t>
      </w:r>
      <w:r w:rsidR="002209CF">
        <w:rPr>
          <w:rFonts w:eastAsia="Times New Roman" w:cs="Times New Roman"/>
          <w:color w:val="000000"/>
          <w:lang w:eastAsia="it-IT"/>
        </w:rPr>
        <w:t xml:space="preserve">us </w:t>
      </w:r>
      <w:r w:rsidR="002A2BD0" w:rsidRPr="00F01F5C">
        <w:rPr>
          <w:rFonts w:eastAsia="Times New Roman" w:cs="Times New Roman"/>
          <w:color w:val="000000"/>
          <w:lang w:eastAsia="it-IT"/>
        </w:rPr>
        <w:t xml:space="preserve">to engage contemporary epistemologists, who tend to proceed by taking for granted that such scenarios are at least conceivable. Interestingly, moreover, it allows </w:t>
      </w:r>
      <w:r w:rsidR="005945C1" w:rsidRPr="00F01F5C">
        <w:rPr>
          <w:rFonts w:eastAsia="Times New Roman" w:cs="Times New Roman"/>
          <w:color w:val="000000"/>
          <w:lang w:eastAsia="it-IT"/>
        </w:rPr>
        <w:t>bringing</w:t>
      </w:r>
      <w:r w:rsidR="002A2BD0" w:rsidRPr="00F01F5C">
        <w:rPr>
          <w:rFonts w:eastAsia="Times New Roman" w:cs="Times New Roman"/>
          <w:color w:val="000000"/>
          <w:lang w:eastAsia="it-IT"/>
        </w:rPr>
        <w:t xml:space="preserve"> a Wittgenstein-inspired conception of the role played by such assumptions with respect to our epistemic practices to bear onto present-day discussions of skepticism.</w:t>
      </w:r>
    </w:p>
    <w:p w:rsidR="000C1175" w:rsidRPr="00F01F5C" w:rsidRDefault="00EE56DB" w:rsidP="004C6263">
      <w:pPr>
        <w:spacing w:after="0" w:line="480" w:lineRule="auto"/>
        <w:ind w:firstLine="708"/>
        <w:jc w:val="both"/>
        <w:textAlignment w:val="baseline"/>
        <w:rPr>
          <w:rFonts w:eastAsia="Times New Roman" w:cs="Times New Roman"/>
          <w:color w:val="000000"/>
          <w:lang w:eastAsia="it-IT"/>
        </w:rPr>
      </w:pPr>
      <w:r w:rsidRPr="00F01F5C">
        <w:rPr>
          <w:rFonts w:eastAsia="Times New Roman" w:cs="Times New Roman"/>
          <w:color w:val="000000"/>
          <w:lang w:eastAsia="it-IT"/>
        </w:rPr>
        <w:t xml:space="preserve">Yet, as I said, my main preoccupation is with </w:t>
      </w:r>
      <w:proofErr w:type="spellStart"/>
      <w:r w:rsidRPr="00F01F5C">
        <w:rPr>
          <w:rFonts w:eastAsia="Times New Roman" w:cs="Times New Roman"/>
          <w:color w:val="000000"/>
          <w:lang w:eastAsia="it-IT"/>
        </w:rPr>
        <w:t>Humean</w:t>
      </w:r>
      <w:proofErr w:type="spellEnd"/>
      <w:r w:rsidR="002A2BD0" w:rsidRPr="00F01F5C">
        <w:rPr>
          <w:rFonts w:eastAsia="Times New Roman" w:cs="Times New Roman"/>
          <w:color w:val="000000"/>
          <w:lang w:eastAsia="it-IT"/>
        </w:rPr>
        <w:t>, rather than Cartesian</w:t>
      </w:r>
      <w:r w:rsidRPr="00F01F5C">
        <w:rPr>
          <w:rFonts w:eastAsia="Times New Roman" w:cs="Times New Roman"/>
          <w:color w:val="000000"/>
          <w:lang w:eastAsia="it-IT"/>
        </w:rPr>
        <w:t xml:space="preserve"> skepticism. </w:t>
      </w:r>
      <w:proofErr w:type="spellStart"/>
      <w:r w:rsidR="002A2BD0" w:rsidRPr="00F01F5C">
        <w:rPr>
          <w:rFonts w:eastAsia="Times New Roman" w:cs="Times New Roman"/>
          <w:color w:val="000000"/>
          <w:lang w:eastAsia="it-IT"/>
        </w:rPr>
        <w:t>Humean</w:t>
      </w:r>
      <w:proofErr w:type="spellEnd"/>
      <w:r w:rsidR="002A2BD0" w:rsidRPr="00F01F5C">
        <w:rPr>
          <w:rFonts w:eastAsia="Times New Roman" w:cs="Times New Roman"/>
          <w:color w:val="000000"/>
          <w:lang w:eastAsia="it-IT"/>
        </w:rPr>
        <w:t xml:space="preserve"> skepticism does not make play with far-fetched skeptical scenarios, whose conceivability may be contentious. For </w:t>
      </w:r>
      <w:proofErr w:type="spellStart"/>
      <w:r w:rsidR="002A2BD0" w:rsidRPr="00F01F5C">
        <w:rPr>
          <w:rFonts w:eastAsia="Times New Roman" w:cs="Times New Roman"/>
          <w:color w:val="000000"/>
          <w:lang w:eastAsia="it-IT"/>
        </w:rPr>
        <w:t>Humean</w:t>
      </w:r>
      <w:proofErr w:type="spellEnd"/>
      <w:r w:rsidR="002A2BD0" w:rsidRPr="00F01F5C">
        <w:rPr>
          <w:rFonts w:eastAsia="Times New Roman" w:cs="Times New Roman"/>
          <w:color w:val="000000"/>
          <w:lang w:eastAsia="it-IT"/>
        </w:rPr>
        <w:t xml:space="preserve"> skepticism arises, </w:t>
      </w:r>
      <w:r w:rsidR="00DC2890" w:rsidRPr="00F01F5C">
        <w:rPr>
          <w:rFonts w:eastAsia="Times New Roman" w:cs="Times New Roman"/>
          <w:color w:val="000000"/>
          <w:lang w:eastAsia="it-IT"/>
        </w:rPr>
        <w:t>simply</w:t>
      </w:r>
      <w:r w:rsidR="002A2BD0" w:rsidRPr="00F01F5C">
        <w:rPr>
          <w:rFonts w:eastAsia="Times New Roman" w:cs="Times New Roman"/>
          <w:color w:val="000000"/>
          <w:lang w:eastAsia="it-IT"/>
        </w:rPr>
        <w:t>, from considering arguments like the one rehearsed above, with “There is an external world” as a conclusion.</w:t>
      </w:r>
      <w:r w:rsidR="00DC2890" w:rsidRPr="00F01F5C">
        <w:rPr>
          <w:rStyle w:val="FootnoteReference"/>
          <w:rFonts w:eastAsia="Times New Roman" w:cs="Times New Roman"/>
          <w:color w:val="000000"/>
          <w:lang w:eastAsia="it-IT"/>
        </w:rPr>
        <w:footnoteReference w:id="29"/>
      </w:r>
      <w:r w:rsidR="002A2BD0" w:rsidRPr="00F01F5C">
        <w:rPr>
          <w:rFonts w:eastAsia="Times New Roman" w:cs="Times New Roman"/>
          <w:color w:val="000000"/>
          <w:lang w:eastAsia="it-IT"/>
        </w:rPr>
        <w:t xml:space="preserve"> </w:t>
      </w:r>
      <w:r w:rsidR="00DC2890" w:rsidRPr="00F01F5C">
        <w:rPr>
          <w:rFonts w:eastAsia="Times New Roman" w:cs="Times New Roman"/>
          <w:color w:val="000000"/>
          <w:lang w:eastAsia="it-IT"/>
        </w:rPr>
        <w:t xml:space="preserve">By noticing that (III) needs to be presupposed </w:t>
      </w:r>
      <w:r w:rsidR="00AB1A9E" w:rsidRPr="00F01F5C">
        <w:rPr>
          <w:rFonts w:eastAsia="Times New Roman" w:cs="Times New Roman"/>
          <w:color w:val="000000"/>
          <w:lang w:eastAsia="it-IT"/>
        </w:rPr>
        <w:t xml:space="preserve">in order </w:t>
      </w:r>
      <w:r w:rsidR="00DC2890" w:rsidRPr="00F01F5C">
        <w:rPr>
          <w:rFonts w:eastAsia="Times New Roman" w:cs="Times New Roman"/>
          <w:color w:val="000000"/>
          <w:lang w:eastAsia="it-IT"/>
        </w:rPr>
        <w:t xml:space="preserve">for (I) to be justified, a </w:t>
      </w:r>
      <w:proofErr w:type="spellStart"/>
      <w:r w:rsidR="00DC2890" w:rsidRPr="00F01F5C">
        <w:rPr>
          <w:rFonts w:eastAsia="Times New Roman" w:cs="Times New Roman"/>
          <w:color w:val="000000"/>
          <w:lang w:eastAsia="it-IT"/>
        </w:rPr>
        <w:t>Humean</w:t>
      </w:r>
      <w:proofErr w:type="spellEnd"/>
      <w:r w:rsidR="00DC2890" w:rsidRPr="00F01F5C">
        <w:rPr>
          <w:rFonts w:eastAsia="Times New Roman" w:cs="Times New Roman"/>
          <w:color w:val="000000"/>
          <w:lang w:eastAsia="it-IT"/>
        </w:rPr>
        <w:t xml:space="preserve"> skeptic would conclude that the argument cannot generate a justification for its conclusion. If, moreover, it is agreed that there is no other way to justify it, </w:t>
      </w:r>
      <w:r w:rsidR="00AB1A9E" w:rsidRPr="00F01F5C">
        <w:rPr>
          <w:rFonts w:eastAsia="Times New Roman" w:cs="Times New Roman"/>
          <w:color w:val="000000"/>
          <w:lang w:eastAsia="it-IT"/>
        </w:rPr>
        <w:t>“T</w:t>
      </w:r>
      <w:r w:rsidR="00DC2890" w:rsidRPr="00F01F5C">
        <w:rPr>
          <w:rFonts w:eastAsia="Times New Roman" w:cs="Times New Roman"/>
          <w:color w:val="000000"/>
          <w:lang w:eastAsia="it-IT"/>
        </w:rPr>
        <w:t>here is an external world</w:t>
      </w:r>
      <w:r w:rsidR="00AB1A9E" w:rsidRPr="00F01F5C">
        <w:rPr>
          <w:rFonts w:eastAsia="Times New Roman" w:cs="Times New Roman"/>
          <w:color w:val="000000"/>
          <w:lang w:eastAsia="it-IT"/>
        </w:rPr>
        <w:t>”</w:t>
      </w:r>
      <w:r w:rsidR="00DC2890" w:rsidRPr="00F01F5C">
        <w:rPr>
          <w:rFonts w:eastAsia="Times New Roman" w:cs="Times New Roman"/>
          <w:color w:val="000000"/>
          <w:lang w:eastAsia="it-IT"/>
        </w:rPr>
        <w:t xml:space="preserve"> turns out to be an a-rational and arbitrary assumption. Of course, we may be compelled by our psychologi</w:t>
      </w:r>
      <w:r w:rsidR="000C1175" w:rsidRPr="00F01F5C">
        <w:rPr>
          <w:rFonts w:eastAsia="Times New Roman" w:cs="Times New Roman"/>
          <w:color w:val="000000"/>
          <w:lang w:eastAsia="it-IT"/>
        </w:rPr>
        <w:t xml:space="preserve">cal nature to hold on to </w:t>
      </w:r>
      <w:proofErr w:type="gramStart"/>
      <w:r w:rsidR="000C1175" w:rsidRPr="00F01F5C">
        <w:rPr>
          <w:rFonts w:eastAsia="Times New Roman" w:cs="Times New Roman"/>
          <w:color w:val="000000"/>
          <w:lang w:eastAsia="it-IT"/>
        </w:rPr>
        <w:t xml:space="preserve">it, </w:t>
      </w:r>
      <w:r w:rsidR="00AB1A9E" w:rsidRPr="00F01F5C">
        <w:rPr>
          <w:rFonts w:eastAsia="Times New Roman" w:cs="Times New Roman"/>
          <w:color w:val="000000"/>
          <w:lang w:eastAsia="it-IT"/>
        </w:rPr>
        <w:t>or</w:t>
      </w:r>
      <w:proofErr w:type="gramEnd"/>
      <w:r w:rsidR="00AB1A9E" w:rsidRPr="00F01F5C">
        <w:rPr>
          <w:rFonts w:eastAsia="Times New Roman" w:cs="Times New Roman"/>
          <w:color w:val="000000"/>
          <w:lang w:eastAsia="it-IT"/>
        </w:rPr>
        <w:t xml:space="preserve"> be viscerally committed to it </w:t>
      </w:r>
      <w:r w:rsidR="000C1175" w:rsidRPr="00F01F5C">
        <w:rPr>
          <w:rFonts w:eastAsia="Times New Roman" w:cs="Times New Roman"/>
          <w:color w:val="000000"/>
          <w:lang w:eastAsia="it-IT"/>
        </w:rPr>
        <w:t>and even enact it in our life</w:t>
      </w:r>
      <w:r w:rsidR="00AB1A9E" w:rsidRPr="00F01F5C">
        <w:rPr>
          <w:rFonts w:eastAsia="Times New Roman" w:cs="Times New Roman"/>
          <w:color w:val="000000"/>
          <w:lang w:eastAsia="it-IT"/>
        </w:rPr>
        <w:t xml:space="preserve"> by behaving in keeping with it</w:t>
      </w:r>
      <w:r w:rsidR="000C1175" w:rsidRPr="00F01F5C">
        <w:rPr>
          <w:rFonts w:eastAsia="Times New Roman" w:cs="Times New Roman"/>
          <w:color w:val="000000"/>
          <w:lang w:eastAsia="it-IT"/>
        </w:rPr>
        <w:t>. None of this means</w:t>
      </w:r>
      <w:r w:rsidR="00AB1A9E" w:rsidRPr="00F01F5C">
        <w:rPr>
          <w:rFonts w:eastAsia="Times New Roman" w:cs="Times New Roman"/>
          <w:color w:val="000000"/>
          <w:lang w:eastAsia="it-IT"/>
        </w:rPr>
        <w:t>, however,</w:t>
      </w:r>
      <w:r w:rsidR="000C1175" w:rsidRPr="00F01F5C">
        <w:rPr>
          <w:rFonts w:eastAsia="Times New Roman" w:cs="Times New Roman"/>
          <w:color w:val="000000"/>
          <w:lang w:eastAsia="it-IT"/>
        </w:rPr>
        <w:t xml:space="preserve"> that we are epistemically and hence rationally within our rights in doing so. </w:t>
      </w:r>
    </w:p>
    <w:p w:rsidR="00F01F5C" w:rsidRPr="002209CF" w:rsidRDefault="000C1175" w:rsidP="002209CF">
      <w:pPr>
        <w:spacing w:after="0" w:line="480" w:lineRule="auto"/>
        <w:ind w:firstLine="708"/>
        <w:jc w:val="both"/>
        <w:textAlignment w:val="baseline"/>
        <w:rPr>
          <w:rFonts w:eastAsia="Times New Roman" w:cs="Times New Roman"/>
          <w:color w:val="000000"/>
          <w:lang w:eastAsia="it-IT"/>
        </w:rPr>
      </w:pPr>
      <w:r w:rsidRPr="00F01F5C">
        <w:rPr>
          <w:rFonts w:eastAsia="Times New Roman" w:cs="Times New Roman"/>
          <w:color w:val="000000"/>
          <w:lang w:eastAsia="it-IT"/>
        </w:rPr>
        <w:t xml:space="preserve">What needs to be redeemed, then, to confront such a challenge, is the rationality of that unjustified and unjustifiable assumption. That is where the </w:t>
      </w:r>
      <w:proofErr w:type="spellStart"/>
      <w:r w:rsidRPr="00F01F5C">
        <w:rPr>
          <w:rFonts w:eastAsia="Times New Roman" w:cs="Times New Roman"/>
          <w:color w:val="000000"/>
          <w:lang w:eastAsia="it-IT"/>
        </w:rPr>
        <w:t>constitutivist</w:t>
      </w:r>
      <w:proofErr w:type="spellEnd"/>
      <w:r w:rsidRPr="00F01F5C">
        <w:rPr>
          <w:rFonts w:eastAsia="Times New Roman" w:cs="Times New Roman"/>
          <w:color w:val="000000"/>
          <w:lang w:eastAsia="it-IT"/>
        </w:rPr>
        <w:t xml:space="preserve"> view comes in. </w:t>
      </w:r>
      <w:r w:rsidR="002209CF">
        <w:rPr>
          <w:rFonts w:eastAsia="Times New Roman" w:cs="Times New Roman"/>
          <w:color w:val="000000"/>
          <w:lang w:eastAsia="it-IT"/>
        </w:rPr>
        <w:t xml:space="preserve">In my view, it is true that </w:t>
      </w:r>
      <w:r w:rsidR="00F01F5C" w:rsidRPr="00F01F5C">
        <w:t>hinges themselves are beyond epistemic appraisal</w:t>
      </w:r>
      <w:r w:rsidR="002209CF">
        <w:t>.</w:t>
      </w:r>
      <w:r w:rsidR="00F01F5C" w:rsidRPr="00F01F5C">
        <w:t xml:space="preserve"> </w:t>
      </w:r>
      <w:r w:rsidR="002209CF">
        <w:t>Yet</w:t>
      </w:r>
      <w:r w:rsidR="00F01F5C" w:rsidRPr="00F01F5C">
        <w:t xml:space="preserve">, we are </w:t>
      </w:r>
      <w:proofErr w:type="gramStart"/>
      <w:r w:rsidR="002209CF">
        <w:t xml:space="preserve">actually </w:t>
      </w:r>
      <w:r w:rsidR="00F01F5C" w:rsidRPr="00F01F5C">
        <w:t>mandated</w:t>
      </w:r>
      <w:proofErr w:type="gramEnd"/>
      <w:r w:rsidR="00F01F5C" w:rsidRPr="00F01F5C">
        <w:t xml:space="preserve"> by epistemic rationality itself to hold on to them. For they are constitutive of the practice of gathering evidence for or against ordinary empirical propositions, which is itself constitutive of epistemic rationality. On a Wittgenstein-inspired epistemology, notions such as the one of epistemic rationality don’t hang in the air. Rather, they depend on human practice and</w:t>
      </w:r>
      <w:proofErr w:type="gramStart"/>
      <w:r w:rsidR="00F01F5C" w:rsidRPr="00F01F5C">
        <w:t>, in particular, on</w:t>
      </w:r>
      <w:proofErr w:type="gramEnd"/>
      <w:r w:rsidR="00F01F5C" w:rsidRPr="00F01F5C">
        <w:t xml:space="preserve"> the practice of forming, assessing and withdrawing from beliefs about physical objects on the basis of one’s perceptual evidence. Hence, either a </w:t>
      </w:r>
      <w:proofErr w:type="spellStart"/>
      <w:r w:rsidR="00FD56D0">
        <w:t>Humean</w:t>
      </w:r>
      <w:proofErr w:type="spellEnd"/>
      <w:r w:rsidR="00FD56D0">
        <w:t xml:space="preserve"> </w:t>
      </w:r>
      <w:r w:rsidR="00F01F5C" w:rsidRPr="00F01F5C">
        <w:t xml:space="preserve">skeptic is a skeptic about epistemic rationality </w:t>
      </w:r>
      <w:r w:rsidR="00F01F5C" w:rsidRPr="00F01F5C">
        <w:lastRenderedPageBreak/>
        <w:t xml:space="preserve">itself, or else, if </w:t>
      </w:r>
      <w:r w:rsidR="005D6609">
        <w:t>s</w:t>
      </w:r>
      <w:r w:rsidR="00F01F5C" w:rsidRPr="00F01F5C">
        <w:t xml:space="preserve">he is merely a skeptic about a class of targeted propositions, like hinges, </w:t>
      </w:r>
      <w:r w:rsidR="005D6609">
        <w:t>s</w:t>
      </w:r>
      <w:r w:rsidR="00F01F5C" w:rsidRPr="00F01F5C">
        <w:t xml:space="preserve">he won’t be allowed to conclude that they fall beyond epistemic rationality. For, though unwarrantable, they are part of epistemic rationality as they are its constitutive elements. To exclude them from epistemic rationality would then be a categorial mistake just like the mistake of excluding rules from a game simply because they aren’t moves </w:t>
      </w:r>
      <w:r w:rsidR="00F01F5C" w:rsidRPr="00F01F5C">
        <w:rPr>
          <w:i/>
        </w:rPr>
        <w:t>within</w:t>
      </w:r>
      <w:r w:rsidR="00F01F5C" w:rsidRPr="00F01F5C">
        <w:t xml:space="preserve"> the game. The correct notion of epistemic rationality </w:t>
      </w:r>
      <w:r w:rsidR="00FD56D0">
        <w:t xml:space="preserve">is </w:t>
      </w:r>
      <w:r w:rsidR="002209CF">
        <w:t>therefore the following, extended one</w:t>
      </w:r>
      <w:r w:rsidR="00F01F5C" w:rsidRPr="00F01F5C">
        <w:t>:</w:t>
      </w:r>
    </w:p>
    <w:p w:rsidR="00F01F5C" w:rsidRPr="00F01F5C" w:rsidRDefault="00F01F5C" w:rsidP="004C6263">
      <w:pPr>
        <w:spacing w:after="0" w:line="480" w:lineRule="auto"/>
        <w:ind w:firstLine="360"/>
        <w:jc w:val="both"/>
      </w:pPr>
    </w:p>
    <w:p w:rsidR="00F01F5C" w:rsidRPr="00F01F5C" w:rsidRDefault="00F01F5C" w:rsidP="004C6263">
      <w:pPr>
        <w:spacing w:after="0" w:line="480" w:lineRule="auto"/>
        <w:ind w:left="720"/>
        <w:jc w:val="both"/>
        <w:rPr>
          <w:lang w:val="en-GB"/>
        </w:rPr>
      </w:pPr>
      <w:r w:rsidRPr="00F01F5C">
        <w:rPr>
          <w:b/>
          <w:bCs/>
          <w:lang w:val="en-GB"/>
        </w:rPr>
        <w:t xml:space="preserve">Epistemic </w:t>
      </w:r>
      <w:proofErr w:type="spellStart"/>
      <w:r w:rsidRPr="00F01F5C">
        <w:rPr>
          <w:b/>
          <w:bCs/>
          <w:lang w:val="en-GB"/>
        </w:rPr>
        <w:t>Rationality</w:t>
      </w:r>
      <w:r w:rsidRPr="00F01F5C">
        <w:rPr>
          <w:b/>
          <w:bCs/>
          <w:vertAlign w:val="subscript"/>
          <w:lang w:val="en-GB"/>
        </w:rPr>
        <w:t>Ext</w:t>
      </w:r>
      <w:proofErr w:type="spellEnd"/>
      <w:r w:rsidRPr="00F01F5C">
        <w:rPr>
          <w:lang w:val="en-GB"/>
        </w:rPr>
        <w:t xml:space="preserve">: a proposition is epistemically </w:t>
      </w:r>
      <w:r>
        <w:rPr>
          <w:lang w:val="en-GB"/>
        </w:rPr>
        <w:t>held</w:t>
      </w:r>
      <w:r w:rsidRPr="00F01F5C">
        <w:rPr>
          <w:lang w:val="en-GB"/>
        </w:rPr>
        <w:t xml:space="preserve"> if and only if either there is a (evidential) justification for it, or, while being unjustifiable, it is necessary in order to have epistemic justifications.</w:t>
      </w:r>
      <w:r w:rsidR="00FD56D0">
        <w:rPr>
          <w:rStyle w:val="FootnoteReference"/>
          <w:lang w:val="en-GB"/>
        </w:rPr>
        <w:footnoteReference w:id="30"/>
      </w:r>
    </w:p>
    <w:p w:rsidR="00F01F5C" w:rsidRPr="00F01F5C" w:rsidRDefault="00F01F5C" w:rsidP="004C6263">
      <w:pPr>
        <w:spacing w:after="0" w:line="480" w:lineRule="auto"/>
        <w:ind w:firstLine="360"/>
        <w:jc w:val="both"/>
      </w:pPr>
    </w:p>
    <w:p w:rsidR="00F01F5C" w:rsidRPr="00F01F5C" w:rsidRDefault="00F01F5C" w:rsidP="002209CF">
      <w:pPr>
        <w:spacing w:after="0" w:line="480" w:lineRule="auto"/>
        <w:jc w:val="both"/>
      </w:pPr>
      <w:r w:rsidRPr="00F01F5C">
        <w:t>The skeptical mistake would thus reside in holding on to too narrow a notion of epistemic rationality, which confines it only to evidentially warranted propositions. Moreover, it would depend on a misconception of the structure of justifications and knowledge, which requires them to spring only from more basic, yet similarly justified or even known propositions. This view can be defined as follows:</w:t>
      </w:r>
    </w:p>
    <w:p w:rsidR="00F01F5C" w:rsidRPr="00F01F5C" w:rsidRDefault="00F01F5C" w:rsidP="004C6263">
      <w:pPr>
        <w:spacing w:after="0" w:line="480" w:lineRule="auto"/>
        <w:ind w:firstLine="360"/>
        <w:jc w:val="both"/>
      </w:pPr>
    </w:p>
    <w:p w:rsidR="00F01F5C" w:rsidRPr="00F01F5C" w:rsidRDefault="00F01F5C" w:rsidP="004C6263">
      <w:pPr>
        <w:spacing w:after="0" w:line="480" w:lineRule="auto"/>
        <w:ind w:left="720"/>
        <w:jc w:val="both"/>
        <w:rPr>
          <w:lang w:val="en-GB"/>
        </w:rPr>
      </w:pPr>
      <w:r w:rsidRPr="00F01F5C">
        <w:rPr>
          <w:b/>
          <w:bCs/>
          <w:lang w:val="en-GB"/>
        </w:rPr>
        <w:t xml:space="preserve">Epistemic </w:t>
      </w:r>
      <w:proofErr w:type="spellStart"/>
      <w:r w:rsidRPr="00F01F5C">
        <w:rPr>
          <w:b/>
          <w:bCs/>
          <w:lang w:val="en-GB"/>
        </w:rPr>
        <w:t>Rationality</w:t>
      </w:r>
      <w:r w:rsidRPr="00F01F5C">
        <w:rPr>
          <w:b/>
          <w:bCs/>
          <w:vertAlign w:val="subscript"/>
          <w:lang w:val="en-GB"/>
        </w:rPr>
        <w:t>sk</w:t>
      </w:r>
      <w:proofErr w:type="spellEnd"/>
      <w:r w:rsidRPr="00F01F5C">
        <w:rPr>
          <w:lang w:val="en-GB"/>
        </w:rPr>
        <w:t xml:space="preserve">: a proposition is epistemically rationally </w:t>
      </w:r>
      <w:r>
        <w:rPr>
          <w:lang w:val="en-GB"/>
        </w:rPr>
        <w:t>held</w:t>
      </w:r>
      <w:r w:rsidRPr="00F01F5C">
        <w:rPr>
          <w:lang w:val="en-GB"/>
        </w:rPr>
        <w:t xml:space="preserve"> if and only if there is a (evidential) justification for it.</w:t>
      </w:r>
    </w:p>
    <w:p w:rsidR="00F01F5C" w:rsidRPr="00F01F5C" w:rsidRDefault="00F01F5C" w:rsidP="004C6263">
      <w:pPr>
        <w:spacing w:after="0" w:line="480" w:lineRule="auto"/>
        <w:jc w:val="both"/>
        <w:rPr>
          <w:lang w:val="en-GB"/>
        </w:rPr>
      </w:pPr>
    </w:p>
    <w:p w:rsidR="00AA7DC7" w:rsidRDefault="00AA7DC7" w:rsidP="004C6263">
      <w:pPr>
        <w:spacing w:after="0" w:line="480" w:lineRule="auto"/>
        <w:jc w:val="both"/>
        <w:textAlignment w:val="baseline"/>
        <w:rPr>
          <w:rFonts w:eastAsia="Times New Roman" w:cs="Times New Roman"/>
          <w:color w:val="000000"/>
          <w:lang w:eastAsia="it-IT"/>
        </w:rPr>
      </w:pPr>
      <w:r w:rsidRPr="00F01F5C">
        <w:rPr>
          <w:rFonts w:eastAsia="Times New Roman" w:cs="Times New Roman"/>
          <w:color w:val="000000"/>
          <w:lang w:eastAsia="it-IT"/>
        </w:rPr>
        <w:t xml:space="preserve">It seems to me that stressing the analogy with games and their constitutive rules, while not itself </w:t>
      </w:r>
      <w:r w:rsidR="00AB1A9E" w:rsidRPr="00F01F5C">
        <w:rPr>
          <w:rFonts w:eastAsia="Times New Roman" w:cs="Times New Roman"/>
          <w:color w:val="000000"/>
          <w:lang w:eastAsia="it-IT"/>
        </w:rPr>
        <w:t xml:space="preserve">already an element </w:t>
      </w:r>
      <w:r w:rsidRPr="00F01F5C">
        <w:rPr>
          <w:rFonts w:eastAsia="Times New Roman" w:cs="Times New Roman"/>
          <w:color w:val="000000"/>
          <w:lang w:eastAsia="it-IT"/>
        </w:rPr>
        <w:t xml:space="preserve">present in OC, is </w:t>
      </w:r>
      <w:r w:rsidR="00AB1A9E" w:rsidRPr="00F01F5C">
        <w:rPr>
          <w:rFonts w:eastAsia="Times New Roman" w:cs="Times New Roman"/>
          <w:color w:val="000000"/>
          <w:lang w:eastAsia="it-IT"/>
        </w:rPr>
        <w:t xml:space="preserve">a move </w:t>
      </w:r>
      <w:r w:rsidRPr="00F01F5C">
        <w:rPr>
          <w:rFonts w:eastAsia="Times New Roman" w:cs="Times New Roman"/>
          <w:color w:val="000000"/>
          <w:lang w:eastAsia="it-IT"/>
        </w:rPr>
        <w:t>in keeping with Wittgenstein’s approach and claim that hinges play a rule-like role</w:t>
      </w:r>
      <w:r w:rsidR="00AB1A9E" w:rsidRPr="00F01F5C">
        <w:rPr>
          <w:rFonts w:eastAsia="Times New Roman" w:cs="Times New Roman"/>
          <w:color w:val="000000"/>
          <w:lang w:eastAsia="it-IT"/>
        </w:rPr>
        <w:t xml:space="preserve"> (OC 95)</w:t>
      </w:r>
      <w:r w:rsidRPr="00F01F5C">
        <w:rPr>
          <w:rFonts w:eastAsia="Times New Roman" w:cs="Times New Roman"/>
          <w:color w:val="000000"/>
          <w:lang w:eastAsia="it-IT"/>
        </w:rPr>
        <w:t>. Of course</w:t>
      </w:r>
      <w:r w:rsidR="00AB1A9E" w:rsidRPr="00F01F5C">
        <w:rPr>
          <w:rFonts w:eastAsia="Times New Roman" w:cs="Times New Roman"/>
          <w:color w:val="000000"/>
          <w:lang w:eastAsia="it-IT"/>
        </w:rPr>
        <w:t>, contrary to Wittgenstein,</w:t>
      </w:r>
      <w:r w:rsidRPr="00F01F5C">
        <w:rPr>
          <w:rFonts w:eastAsia="Times New Roman" w:cs="Times New Roman"/>
          <w:color w:val="000000"/>
          <w:lang w:eastAsia="it-IT"/>
        </w:rPr>
        <w:t xml:space="preserve"> I am not capitalizing on their semantic discontinuity with respect to ordinary empirical propositions, but I am insisting on their epistemic discontinuity, just like </w:t>
      </w:r>
      <w:r w:rsidRPr="00F01F5C">
        <w:rPr>
          <w:rFonts w:eastAsia="Times New Roman" w:cs="Times New Roman"/>
          <w:color w:val="000000"/>
          <w:lang w:eastAsia="it-IT"/>
        </w:rPr>
        <w:lastRenderedPageBreak/>
        <w:t xml:space="preserve">Wittgenstein does, and on their rule-like role with respect to rationality. For to claim that hinges are constitutive of epistemic rationality is to claim that they function as </w:t>
      </w:r>
      <w:r w:rsidR="00FD56D0">
        <w:rPr>
          <w:rFonts w:eastAsia="Times New Roman" w:cs="Times New Roman"/>
          <w:color w:val="000000"/>
          <w:lang w:eastAsia="it-IT"/>
        </w:rPr>
        <w:t>its constitutive rules</w:t>
      </w:r>
      <w:r w:rsidRPr="00F01F5C">
        <w:rPr>
          <w:rFonts w:eastAsia="Times New Roman" w:cs="Times New Roman"/>
          <w:color w:val="000000"/>
          <w:lang w:eastAsia="it-IT"/>
        </w:rPr>
        <w:t>.</w:t>
      </w:r>
    </w:p>
    <w:p w:rsidR="002209CF" w:rsidRDefault="002209CF" w:rsidP="004C6263">
      <w:pPr>
        <w:spacing w:after="0" w:line="480" w:lineRule="auto"/>
        <w:jc w:val="both"/>
        <w:textAlignment w:val="baseline"/>
        <w:rPr>
          <w:rFonts w:eastAsia="Times New Roman" w:cs="Times New Roman"/>
          <w:b/>
          <w:color w:val="000000"/>
          <w:lang w:eastAsia="it-IT"/>
        </w:rPr>
      </w:pPr>
    </w:p>
    <w:p w:rsidR="00F01F5C" w:rsidRPr="002209CF" w:rsidRDefault="00F01F5C" w:rsidP="004C6263">
      <w:pPr>
        <w:spacing w:after="0" w:line="480" w:lineRule="auto"/>
        <w:jc w:val="both"/>
        <w:textAlignment w:val="baseline"/>
        <w:rPr>
          <w:rFonts w:eastAsia="Times New Roman" w:cs="Times New Roman"/>
          <w:b/>
          <w:color w:val="000000"/>
          <w:lang w:eastAsia="it-IT"/>
        </w:rPr>
      </w:pPr>
      <w:r w:rsidRPr="00F01F5C">
        <w:rPr>
          <w:rFonts w:eastAsia="Times New Roman" w:cs="Times New Roman"/>
          <w:b/>
          <w:color w:val="000000"/>
          <w:lang w:eastAsia="it-IT"/>
        </w:rPr>
        <w:t>Conclusion</w:t>
      </w:r>
    </w:p>
    <w:p w:rsidR="00F01F5C" w:rsidRDefault="00F01F5C" w:rsidP="004C6263">
      <w:pPr>
        <w:spacing w:after="0" w:line="480" w:lineRule="auto"/>
        <w:jc w:val="both"/>
        <w:textAlignment w:val="baseline"/>
        <w:rPr>
          <w:rFonts w:eastAsia="Times New Roman" w:cs="Times New Roman"/>
          <w:color w:val="000000"/>
          <w:lang w:eastAsia="it-IT"/>
        </w:rPr>
      </w:pPr>
      <w:r>
        <w:rPr>
          <w:rFonts w:eastAsia="Times New Roman" w:cs="Times New Roman"/>
          <w:color w:val="000000"/>
          <w:lang w:eastAsia="it-IT"/>
        </w:rPr>
        <w:t>I</w:t>
      </w:r>
      <w:r w:rsidR="00192599">
        <w:rPr>
          <w:rFonts w:eastAsia="Times New Roman" w:cs="Times New Roman"/>
          <w:color w:val="000000"/>
          <w:lang w:eastAsia="it-IT"/>
        </w:rPr>
        <w:t>n</w:t>
      </w:r>
      <w:r>
        <w:rPr>
          <w:rFonts w:eastAsia="Times New Roman" w:cs="Times New Roman"/>
          <w:color w:val="000000"/>
          <w:lang w:eastAsia="it-IT"/>
        </w:rPr>
        <w:t xml:space="preserve"> the foregoing</w:t>
      </w:r>
      <w:r w:rsidR="00192599">
        <w:rPr>
          <w:rFonts w:eastAsia="Times New Roman" w:cs="Times New Roman"/>
          <w:color w:val="000000"/>
          <w:lang w:eastAsia="it-IT"/>
        </w:rPr>
        <w:t>, I</w:t>
      </w:r>
      <w:r>
        <w:rPr>
          <w:rFonts w:eastAsia="Times New Roman" w:cs="Times New Roman"/>
          <w:color w:val="000000"/>
          <w:lang w:eastAsia="it-IT"/>
        </w:rPr>
        <w:t xml:space="preserve"> </w:t>
      </w:r>
      <w:r w:rsidR="00192599">
        <w:rPr>
          <w:rFonts w:eastAsia="Times New Roman" w:cs="Times New Roman"/>
          <w:color w:val="000000"/>
          <w:lang w:eastAsia="it-IT"/>
        </w:rPr>
        <w:t>hope to have</w:t>
      </w:r>
      <w:r>
        <w:rPr>
          <w:rFonts w:eastAsia="Times New Roman" w:cs="Times New Roman"/>
          <w:color w:val="000000"/>
          <w:lang w:eastAsia="it-IT"/>
        </w:rPr>
        <w:t xml:space="preserve"> shown not such much what the answer to the titular question – “Which hinge epistemology between animal, </w:t>
      </w:r>
      <w:proofErr w:type="spellStart"/>
      <w:r>
        <w:rPr>
          <w:rFonts w:eastAsia="Times New Roman" w:cs="Times New Roman"/>
          <w:color w:val="000000"/>
          <w:lang w:eastAsia="it-IT"/>
        </w:rPr>
        <w:t>bioscopic</w:t>
      </w:r>
      <w:proofErr w:type="spellEnd"/>
      <w:r>
        <w:rPr>
          <w:rFonts w:eastAsia="Times New Roman" w:cs="Times New Roman"/>
          <w:color w:val="000000"/>
          <w:lang w:eastAsia="it-IT"/>
        </w:rPr>
        <w:t xml:space="preserve"> and </w:t>
      </w:r>
      <w:proofErr w:type="spellStart"/>
      <w:r>
        <w:rPr>
          <w:rFonts w:eastAsia="Times New Roman" w:cs="Times New Roman"/>
          <w:color w:val="000000"/>
          <w:lang w:eastAsia="it-IT"/>
        </w:rPr>
        <w:t>constitutivist</w:t>
      </w:r>
      <w:proofErr w:type="spellEnd"/>
      <w:r>
        <w:rPr>
          <w:rFonts w:eastAsia="Times New Roman" w:cs="Times New Roman"/>
          <w:color w:val="000000"/>
          <w:lang w:eastAsia="it-IT"/>
        </w:rPr>
        <w:t xml:space="preserve">?” – should be. That </w:t>
      </w:r>
      <w:r w:rsidR="00192599">
        <w:rPr>
          <w:rFonts w:eastAsia="Times New Roman" w:cs="Times New Roman"/>
          <w:color w:val="000000"/>
          <w:lang w:eastAsia="it-IT"/>
        </w:rPr>
        <w:t xml:space="preserve">answer </w:t>
      </w:r>
      <w:r>
        <w:rPr>
          <w:rFonts w:eastAsia="Times New Roman" w:cs="Times New Roman"/>
          <w:color w:val="000000"/>
          <w:lang w:eastAsia="it-IT"/>
        </w:rPr>
        <w:t xml:space="preserve">would depend on various interlocking factors, having to do with one’s interests, whether more exegetical in nature, or systematic, and on </w:t>
      </w:r>
      <w:r w:rsidR="00192599">
        <w:rPr>
          <w:rFonts w:eastAsia="Times New Roman" w:cs="Times New Roman"/>
          <w:color w:val="000000"/>
          <w:lang w:eastAsia="it-IT"/>
        </w:rPr>
        <w:t xml:space="preserve">the </w:t>
      </w:r>
      <w:r w:rsidR="00FD56D0">
        <w:rPr>
          <w:rFonts w:eastAsia="Times New Roman" w:cs="Times New Roman"/>
          <w:color w:val="000000"/>
          <w:lang w:eastAsia="it-IT"/>
        </w:rPr>
        <w:t>answer</w:t>
      </w:r>
      <w:r>
        <w:rPr>
          <w:rFonts w:eastAsia="Times New Roman" w:cs="Times New Roman"/>
          <w:color w:val="000000"/>
          <w:lang w:eastAsia="it-IT"/>
        </w:rPr>
        <w:t xml:space="preserve"> to the myriad questions the interpretation</w:t>
      </w:r>
      <w:r w:rsidR="00192599">
        <w:rPr>
          <w:rFonts w:eastAsia="Times New Roman" w:cs="Times New Roman"/>
          <w:color w:val="000000"/>
          <w:lang w:eastAsia="it-IT"/>
        </w:rPr>
        <w:t>, as well as the development</w:t>
      </w:r>
      <w:r>
        <w:rPr>
          <w:rFonts w:eastAsia="Times New Roman" w:cs="Times New Roman"/>
          <w:color w:val="000000"/>
          <w:lang w:eastAsia="it-IT"/>
        </w:rPr>
        <w:t xml:space="preserve"> of</w:t>
      </w:r>
      <w:r w:rsidR="00192599">
        <w:rPr>
          <w:rFonts w:eastAsia="Times New Roman" w:cs="Times New Roman"/>
          <w:color w:val="000000"/>
          <w:lang w:eastAsia="it-IT"/>
        </w:rPr>
        <w:t xml:space="preserve"> Wittgenstein’s ideas in OC </w:t>
      </w:r>
      <w:r w:rsidR="002209CF">
        <w:rPr>
          <w:rFonts w:eastAsia="Times New Roman" w:cs="Times New Roman"/>
          <w:color w:val="000000"/>
          <w:lang w:eastAsia="it-IT"/>
        </w:rPr>
        <w:t xml:space="preserve">give </w:t>
      </w:r>
      <w:r w:rsidR="00192599">
        <w:rPr>
          <w:rFonts w:eastAsia="Times New Roman" w:cs="Times New Roman"/>
          <w:color w:val="000000"/>
          <w:lang w:eastAsia="it-IT"/>
        </w:rPr>
        <w:t>rise</w:t>
      </w:r>
      <w:r w:rsidR="002209CF">
        <w:rPr>
          <w:rFonts w:eastAsia="Times New Roman" w:cs="Times New Roman"/>
          <w:color w:val="000000"/>
          <w:lang w:eastAsia="it-IT"/>
        </w:rPr>
        <w:t xml:space="preserve"> to</w:t>
      </w:r>
      <w:r w:rsidR="00192599">
        <w:rPr>
          <w:rFonts w:eastAsia="Times New Roman" w:cs="Times New Roman"/>
          <w:color w:val="000000"/>
          <w:lang w:eastAsia="it-IT"/>
        </w:rPr>
        <w:t>.</w:t>
      </w:r>
      <w:r>
        <w:rPr>
          <w:rFonts w:eastAsia="Times New Roman" w:cs="Times New Roman"/>
          <w:color w:val="000000"/>
          <w:lang w:eastAsia="it-IT"/>
        </w:rPr>
        <w:t xml:space="preserve"> </w:t>
      </w:r>
      <w:r w:rsidR="00192599">
        <w:rPr>
          <w:rFonts w:eastAsia="Times New Roman" w:cs="Times New Roman"/>
          <w:color w:val="000000"/>
          <w:lang w:eastAsia="it-IT"/>
        </w:rPr>
        <w:t xml:space="preserve">Rather, I hope to have shown the interest of pursuing hinge epistemology both in its historical and theoretical dimension, and </w:t>
      </w:r>
      <w:r w:rsidR="002209CF">
        <w:rPr>
          <w:rFonts w:eastAsia="Times New Roman" w:cs="Times New Roman"/>
          <w:color w:val="000000"/>
          <w:lang w:eastAsia="it-IT"/>
        </w:rPr>
        <w:t xml:space="preserve">to have elucidated some of </w:t>
      </w:r>
      <w:r w:rsidR="00192599">
        <w:rPr>
          <w:rFonts w:eastAsia="Times New Roman" w:cs="Times New Roman"/>
          <w:color w:val="000000"/>
          <w:lang w:eastAsia="it-IT"/>
        </w:rPr>
        <w:t>the key issues that anyone doing either or both will have to confront. Whatever the details and differences, I think that the protagonists of this discussion and I all agree that Wittgenstein’s ideas in OC are of profound significance for present-day epistemology</w:t>
      </w:r>
      <w:r w:rsidR="002209CF">
        <w:rPr>
          <w:rFonts w:eastAsia="Times New Roman" w:cs="Times New Roman"/>
          <w:color w:val="000000"/>
          <w:lang w:eastAsia="it-IT"/>
        </w:rPr>
        <w:t xml:space="preserve"> and should be properly attended to</w:t>
      </w:r>
      <w:r w:rsidR="00192599">
        <w:rPr>
          <w:rFonts w:eastAsia="Times New Roman" w:cs="Times New Roman"/>
          <w:color w:val="000000"/>
          <w:lang w:eastAsia="it-IT"/>
        </w:rPr>
        <w:t>.</w:t>
      </w:r>
    </w:p>
    <w:p w:rsidR="00B71371" w:rsidRDefault="00B71371" w:rsidP="004C6263">
      <w:pPr>
        <w:spacing w:after="0" w:line="480" w:lineRule="auto"/>
        <w:jc w:val="both"/>
        <w:textAlignment w:val="baseline"/>
        <w:rPr>
          <w:rFonts w:eastAsia="Times New Roman" w:cs="Times New Roman"/>
          <w:color w:val="000000"/>
          <w:lang w:eastAsia="it-IT"/>
        </w:rPr>
      </w:pPr>
    </w:p>
    <w:p w:rsidR="00B71371" w:rsidRPr="00B71371" w:rsidRDefault="00B71371" w:rsidP="004C6263">
      <w:pPr>
        <w:spacing w:after="0" w:line="480" w:lineRule="auto"/>
        <w:jc w:val="both"/>
        <w:textAlignment w:val="baseline"/>
        <w:rPr>
          <w:rFonts w:eastAsia="Times New Roman" w:cs="Times New Roman"/>
          <w:b/>
          <w:color w:val="000000"/>
          <w:lang w:eastAsia="it-IT"/>
        </w:rPr>
      </w:pPr>
      <w:r>
        <w:rPr>
          <w:rFonts w:eastAsia="Times New Roman" w:cs="Times New Roman"/>
          <w:b/>
          <w:color w:val="000000"/>
          <w:lang w:eastAsia="it-IT"/>
        </w:rPr>
        <w:t>References</w:t>
      </w:r>
    </w:p>
    <w:p w:rsidR="00473410" w:rsidRDefault="00473410" w:rsidP="00C40530">
      <w:pPr>
        <w:spacing w:after="0" w:line="480" w:lineRule="auto"/>
        <w:jc w:val="both"/>
        <w:rPr>
          <w:rFonts w:cs="Arial"/>
          <w:color w:val="333333"/>
          <w:sz w:val="20"/>
          <w:szCs w:val="20"/>
          <w:shd w:val="clear" w:color="auto" w:fill="FFFFFF"/>
        </w:rPr>
      </w:pPr>
      <w:proofErr w:type="spellStart"/>
      <w:r w:rsidRPr="00473410">
        <w:rPr>
          <w:sz w:val="20"/>
          <w:szCs w:val="20"/>
        </w:rPr>
        <w:t>Boncompagni</w:t>
      </w:r>
      <w:proofErr w:type="spellEnd"/>
      <w:r w:rsidRPr="00473410">
        <w:rPr>
          <w:sz w:val="20"/>
          <w:szCs w:val="20"/>
        </w:rPr>
        <w:t xml:space="preserve">, A. 2016 </w:t>
      </w:r>
      <w:r w:rsidRPr="00473410">
        <w:rPr>
          <w:rFonts w:cs="Arial"/>
          <w:i/>
          <w:color w:val="333333"/>
          <w:sz w:val="20"/>
          <w:szCs w:val="20"/>
          <w:shd w:val="clear" w:color="auto" w:fill="FFFFFF"/>
        </w:rPr>
        <w:t xml:space="preserve">Wittgenstein and Pragmatism. </w:t>
      </w:r>
      <w:r w:rsidRPr="00473410">
        <w:rPr>
          <w:rFonts w:cs="Arial"/>
          <w:color w:val="333333"/>
          <w:sz w:val="20"/>
          <w:szCs w:val="20"/>
          <w:shd w:val="clear" w:color="auto" w:fill="FFFFFF"/>
        </w:rPr>
        <w:t xml:space="preserve">On Certainty </w:t>
      </w:r>
      <w:r w:rsidRPr="00473410">
        <w:rPr>
          <w:rFonts w:cs="Arial"/>
          <w:i/>
          <w:color w:val="333333"/>
          <w:sz w:val="20"/>
          <w:szCs w:val="20"/>
          <w:shd w:val="clear" w:color="auto" w:fill="FFFFFF"/>
        </w:rPr>
        <w:t>in the Light of Peirce and James</w:t>
      </w:r>
      <w:r>
        <w:rPr>
          <w:rFonts w:cs="Arial"/>
          <w:color w:val="333333"/>
          <w:sz w:val="20"/>
          <w:szCs w:val="20"/>
          <w:shd w:val="clear" w:color="auto" w:fill="FFFFFF"/>
        </w:rPr>
        <w:t>,</w:t>
      </w:r>
      <w:r w:rsidRPr="00473410">
        <w:rPr>
          <w:rFonts w:cs="Arial"/>
          <w:color w:val="333333"/>
          <w:sz w:val="20"/>
          <w:szCs w:val="20"/>
          <w:shd w:val="clear" w:color="auto" w:fill="FFFFFF"/>
        </w:rPr>
        <w:t xml:space="preserve"> London, Palgrave Macmillan, 2016.</w:t>
      </w:r>
    </w:p>
    <w:p w:rsidR="00C40530" w:rsidRDefault="00C40530" w:rsidP="00C40530">
      <w:pPr>
        <w:spacing w:after="0" w:line="480" w:lineRule="auto"/>
        <w:jc w:val="both"/>
        <w:rPr>
          <w:rFonts w:cs="Arial"/>
          <w:color w:val="333333"/>
          <w:sz w:val="20"/>
          <w:szCs w:val="20"/>
          <w:shd w:val="clear" w:color="auto" w:fill="FFFFFF"/>
        </w:rPr>
      </w:pPr>
      <w:proofErr w:type="spellStart"/>
      <w:r w:rsidRPr="00C40530">
        <w:rPr>
          <w:sz w:val="20"/>
          <w:szCs w:val="20"/>
        </w:rPr>
        <w:t>Boncompagni</w:t>
      </w:r>
      <w:proofErr w:type="spellEnd"/>
      <w:r w:rsidRPr="00C40530">
        <w:rPr>
          <w:sz w:val="20"/>
          <w:szCs w:val="20"/>
        </w:rPr>
        <w:t xml:space="preserve">, A. 2019 </w:t>
      </w:r>
      <w:r>
        <w:rPr>
          <w:rFonts w:cs="Arial"/>
          <w:color w:val="333333"/>
          <w:sz w:val="20"/>
          <w:szCs w:val="20"/>
          <w:shd w:val="clear" w:color="auto" w:fill="FFFFFF"/>
        </w:rPr>
        <w:t>“Hinges, prejudices and radical d</w:t>
      </w:r>
      <w:r w:rsidRPr="00C40530">
        <w:rPr>
          <w:rFonts w:cs="Arial"/>
          <w:color w:val="333333"/>
          <w:sz w:val="20"/>
          <w:szCs w:val="20"/>
          <w:shd w:val="clear" w:color="auto" w:fill="FFFFFF"/>
        </w:rPr>
        <w:t xml:space="preserve">oubters”, </w:t>
      </w:r>
      <w:r w:rsidRPr="00C40530">
        <w:rPr>
          <w:rFonts w:cs="Arial"/>
          <w:i/>
          <w:color w:val="333333"/>
          <w:sz w:val="20"/>
          <w:szCs w:val="20"/>
          <w:shd w:val="clear" w:color="auto" w:fill="FFFFFF"/>
        </w:rPr>
        <w:t>Wittgenstein-</w:t>
      </w:r>
      <w:proofErr w:type="spellStart"/>
      <w:r w:rsidRPr="00C40530">
        <w:rPr>
          <w:rFonts w:cs="Arial"/>
          <w:i/>
          <w:color w:val="333333"/>
          <w:sz w:val="20"/>
          <w:szCs w:val="20"/>
          <w:shd w:val="clear" w:color="auto" w:fill="FFFFFF"/>
        </w:rPr>
        <w:t>Studien</w:t>
      </w:r>
      <w:proofErr w:type="spellEnd"/>
      <w:r w:rsidRPr="00C40530">
        <w:rPr>
          <w:rFonts w:cs="Arial"/>
          <w:color w:val="333333"/>
          <w:sz w:val="20"/>
          <w:szCs w:val="20"/>
          <w:shd w:val="clear" w:color="auto" w:fill="FFFFFF"/>
        </w:rPr>
        <w:t xml:space="preserve"> 10/1, pp. 165-181.</w:t>
      </w:r>
    </w:p>
    <w:p w:rsidR="00341CD9" w:rsidRPr="00341CD9" w:rsidRDefault="00341CD9" w:rsidP="00C40530">
      <w:pPr>
        <w:spacing w:after="0" w:line="480" w:lineRule="auto"/>
        <w:jc w:val="both"/>
        <w:rPr>
          <w:rFonts w:cs="Arial"/>
          <w:color w:val="333333"/>
          <w:sz w:val="20"/>
          <w:szCs w:val="20"/>
          <w:shd w:val="clear" w:color="auto" w:fill="FFFFFF"/>
        </w:rPr>
      </w:pPr>
      <w:r>
        <w:rPr>
          <w:rFonts w:cs="Arial"/>
          <w:color w:val="333333"/>
          <w:sz w:val="20"/>
          <w:szCs w:val="20"/>
          <w:shd w:val="clear" w:color="auto" w:fill="FFFFFF"/>
        </w:rPr>
        <w:t xml:space="preserve">Burge, T. 2010 </w:t>
      </w:r>
      <w:r>
        <w:rPr>
          <w:rFonts w:cs="Arial"/>
          <w:i/>
          <w:color w:val="333333"/>
          <w:sz w:val="20"/>
          <w:szCs w:val="20"/>
          <w:shd w:val="clear" w:color="auto" w:fill="FFFFFF"/>
        </w:rPr>
        <w:t>Origins of Objectivity</w:t>
      </w:r>
      <w:r>
        <w:rPr>
          <w:rFonts w:cs="Arial"/>
          <w:color w:val="333333"/>
          <w:sz w:val="20"/>
          <w:szCs w:val="20"/>
          <w:shd w:val="clear" w:color="auto" w:fill="FFFFFF"/>
        </w:rPr>
        <w:t>, Oxford, Oxford University Press.</w:t>
      </w:r>
    </w:p>
    <w:p w:rsidR="00B71371" w:rsidRPr="00460D97" w:rsidRDefault="00B71371" w:rsidP="00C40530">
      <w:pPr>
        <w:spacing w:after="0" w:line="480" w:lineRule="auto"/>
        <w:jc w:val="both"/>
        <w:rPr>
          <w:sz w:val="20"/>
          <w:szCs w:val="20"/>
        </w:rPr>
      </w:pPr>
      <w:r w:rsidRPr="00460D97">
        <w:rPr>
          <w:sz w:val="20"/>
          <w:szCs w:val="20"/>
        </w:rPr>
        <w:t xml:space="preserve">Coliva, A. 2010 </w:t>
      </w:r>
      <w:r w:rsidRPr="00460D97">
        <w:rPr>
          <w:i/>
          <w:sz w:val="20"/>
          <w:szCs w:val="20"/>
        </w:rPr>
        <w:t xml:space="preserve">Moore and Wittgenstein. </w:t>
      </w:r>
      <w:proofErr w:type="spellStart"/>
      <w:r w:rsidRPr="00460D97">
        <w:rPr>
          <w:i/>
          <w:sz w:val="20"/>
          <w:szCs w:val="20"/>
        </w:rPr>
        <w:t>Scepticism</w:t>
      </w:r>
      <w:proofErr w:type="spellEnd"/>
      <w:r w:rsidRPr="00460D97">
        <w:rPr>
          <w:i/>
          <w:sz w:val="20"/>
          <w:szCs w:val="20"/>
        </w:rPr>
        <w:t>, Certainty and Common Sense</w:t>
      </w:r>
      <w:r w:rsidRPr="00460D97">
        <w:rPr>
          <w:sz w:val="20"/>
          <w:szCs w:val="20"/>
        </w:rPr>
        <w:t>, Basingstoke, Palgrave Macmillan.</w:t>
      </w:r>
    </w:p>
    <w:p w:rsidR="00B71371" w:rsidRPr="00460D97" w:rsidRDefault="0009478A" w:rsidP="00C40530">
      <w:pPr>
        <w:spacing w:after="0" w:line="480" w:lineRule="auto"/>
        <w:jc w:val="both"/>
        <w:rPr>
          <w:sz w:val="20"/>
          <w:szCs w:val="20"/>
        </w:rPr>
      </w:pPr>
      <w:r>
        <w:rPr>
          <w:sz w:val="20"/>
          <w:szCs w:val="20"/>
        </w:rPr>
        <w:t>Coliva, A. 2013</w:t>
      </w:r>
      <w:r w:rsidR="00B71371" w:rsidRPr="00460D97">
        <w:rPr>
          <w:sz w:val="20"/>
          <w:szCs w:val="20"/>
        </w:rPr>
        <w:t xml:space="preserve"> “</w:t>
      </w:r>
      <w:r w:rsidR="00B71371" w:rsidRPr="0009478A">
        <w:rPr>
          <w:rStyle w:val="Emphasis"/>
          <w:i w:val="0"/>
          <w:sz w:val="20"/>
          <w:szCs w:val="20"/>
        </w:rPr>
        <w:t>Replies</w:t>
      </w:r>
      <w:r>
        <w:rPr>
          <w:rStyle w:val="Emphasis"/>
          <w:sz w:val="20"/>
          <w:szCs w:val="20"/>
        </w:rPr>
        <w:t xml:space="preserve"> </w:t>
      </w:r>
      <w:r>
        <w:rPr>
          <w:rStyle w:val="Emphasis"/>
          <w:i w:val="0"/>
          <w:sz w:val="20"/>
          <w:szCs w:val="20"/>
        </w:rPr>
        <w:t>to commentators</w:t>
      </w:r>
      <w:r w:rsidR="00B71371" w:rsidRPr="00460D97">
        <w:rPr>
          <w:rStyle w:val="Emphasis"/>
          <w:sz w:val="20"/>
          <w:szCs w:val="20"/>
        </w:rPr>
        <w:t>”,</w:t>
      </w:r>
      <w:r w:rsidR="00B71371" w:rsidRPr="00460D97">
        <w:rPr>
          <w:i/>
          <w:sz w:val="20"/>
          <w:szCs w:val="20"/>
        </w:rPr>
        <w:t xml:space="preserve"> Philosophia. The Philosophical Quarterly of Israel </w:t>
      </w:r>
      <w:r w:rsidR="00B71371" w:rsidRPr="00460D97">
        <w:rPr>
          <w:sz w:val="20"/>
          <w:szCs w:val="20"/>
        </w:rPr>
        <w:t>41, pp. 81-96.</w:t>
      </w:r>
    </w:p>
    <w:p w:rsidR="00B71371" w:rsidRDefault="00B71371" w:rsidP="00C40530">
      <w:pPr>
        <w:spacing w:after="0" w:line="480" w:lineRule="auto"/>
        <w:jc w:val="both"/>
        <w:rPr>
          <w:sz w:val="20"/>
          <w:szCs w:val="20"/>
        </w:rPr>
      </w:pPr>
      <w:r w:rsidRPr="00460D97">
        <w:rPr>
          <w:sz w:val="20"/>
          <w:szCs w:val="20"/>
        </w:rPr>
        <w:t xml:space="preserve">Coliva, A. </w:t>
      </w:r>
      <w:r w:rsidR="004C5F20">
        <w:rPr>
          <w:sz w:val="20"/>
          <w:szCs w:val="20"/>
        </w:rPr>
        <w:t>2015</w:t>
      </w:r>
      <w:r w:rsidRPr="00460D97">
        <w:rPr>
          <w:sz w:val="20"/>
          <w:szCs w:val="20"/>
        </w:rPr>
        <w:t xml:space="preserve"> </w:t>
      </w:r>
      <w:r w:rsidRPr="00460D97">
        <w:rPr>
          <w:i/>
          <w:sz w:val="20"/>
          <w:szCs w:val="20"/>
        </w:rPr>
        <w:t>Extended Rationality. A Hinge Epistemology</w:t>
      </w:r>
      <w:r w:rsidRPr="00460D97">
        <w:rPr>
          <w:sz w:val="20"/>
          <w:szCs w:val="20"/>
        </w:rPr>
        <w:t>, Palgrave Macmillan.</w:t>
      </w:r>
    </w:p>
    <w:p w:rsidR="00A03480" w:rsidRDefault="00A03480" w:rsidP="00C40530">
      <w:pPr>
        <w:spacing w:after="0" w:line="480" w:lineRule="auto"/>
        <w:jc w:val="both"/>
        <w:rPr>
          <w:sz w:val="20"/>
          <w:szCs w:val="20"/>
        </w:rPr>
      </w:pPr>
      <w:r>
        <w:rPr>
          <w:sz w:val="20"/>
          <w:szCs w:val="20"/>
        </w:rPr>
        <w:t xml:space="preserve">Coliva, A. 2016 “Which hinge epistemology?”, </w:t>
      </w:r>
      <w:r w:rsidRPr="00A03480">
        <w:rPr>
          <w:i/>
          <w:sz w:val="20"/>
          <w:szCs w:val="20"/>
        </w:rPr>
        <w:t>The International Journal for the Study of Skepticism</w:t>
      </w:r>
      <w:r>
        <w:rPr>
          <w:sz w:val="20"/>
          <w:szCs w:val="20"/>
        </w:rPr>
        <w:t xml:space="preserve"> </w:t>
      </w:r>
      <w:r w:rsidRPr="00A03480">
        <w:rPr>
          <w:rFonts w:cs="Arial"/>
          <w:color w:val="333333"/>
          <w:sz w:val="20"/>
          <w:szCs w:val="20"/>
          <w:shd w:val="clear" w:color="auto" w:fill="FFFFFF"/>
        </w:rPr>
        <w:t>6, pp. 79-96.</w:t>
      </w:r>
    </w:p>
    <w:p w:rsidR="00341CD9" w:rsidRPr="00CD5AFD" w:rsidRDefault="00341CD9" w:rsidP="00C40530">
      <w:pPr>
        <w:spacing w:after="0" w:line="480" w:lineRule="auto"/>
        <w:jc w:val="both"/>
        <w:rPr>
          <w:sz w:val="20"/>
          <w:szCs w:val="20"/>
        </w:rPr>
      </w:pPr>
      <w:r>
        <w:rPr>
          <w:sz w:val="20"/>
          <w:szCs w:val="20"/>
        </w:rPr>
        <w:t xml:space="preserve">Coliva, A. 2018 </w:t>
      </w:r>
      <w:r w:rsidRPr="00CD5AFD">
        <w:rPr>
          <w:sz w:val="20"/>
          <w:szCs w:val="20"/>
        </w:rPr>
        <w:t>“</w:t>
      </w:r>
      <w:r w:rsidRPr="00CD5AFD">
        <w:rPr>
          <w:rFonts w:cs="Arial"/>
          <w:color w:val="333333"/>
          <w:sz w:val="20"/>
          <w:szCs w:val="20"/>
          <w:shd w:val="clear" w:color="auto" w:fill="FFFFFF"/>
        </w:rPr>
        <w:t xml:space="preserve">Strange bedfellows. On Pritchard’s </w:t>
      </w:r>
      <w:proofErr w:type="spellStart"/>
      <w:r w:rsidRPr="00CD5AFD">
        <w:rPr>
          <w:rFonts w:cs="Arial"/>
          <w:color w:val="333333"/>
          <w:sz w:val="20"/>
          <w:szCs w:val="20"/>
          <w:shd w:val="clear" w:color="auto" w:fill="FFFFFF"/>
        </w:rPr>
        <w:t>disjunctivist</w:t>
      </w:r>
      <w:proofErr w:type="spellEnd"/>
      <w:r w:rsidRPr="00CD5AFD">
        <w:rPr>
          <w:rFonts w:cs="Arial"/>
          <w:color w:val="333333"/>
          <w:sz w:val="20"/>
          <w:szCs w:val="20"/>
          <w:shd w:val="clear" w:color="auto" w:fill="FFFFFF"/>
        </w:rPr>
        <w:t xml:space="preserve"> hinge epistemology”, </w:t>
      </w:r>
      <w:proofErr w:type="spellStart"/>
      <w:r w:rsidRPr="00CD5AFD">
        <w:rPr>
          <w:rFonts w:cs="Arial"/>
          <w:i/>
          <w:color w:val="333333"/>
          <w:sz w:val="20"/>
          <w:szCs w:val="20"/>
          <w:shd w:val="clear" w:color="auto" w:fill="FFFFFF"/>
        </w:rPr>
        <w:t>Synthese</w:t>
      </w:r>
      <w:proofErr w:type="spellEnd"/>
      <w:r w:rsidRPr="00CD5AFD">
        <w:rPr>
          <w:rFonts w:cs="Arial"/>
          <w:color w:val="333333"/>
          <w:sz w:val="20"/>
          <w:szCs w:val="20"/>
          <w:shd w:val="clear" w:color="auto" w:fill="FFFFFF"/>
        </w:rPr>
        <w:t>, pp. 1-12. https://doi.org/10.1007/s11229-018-02046-z</w:t>
      </w:r>
    </w:p>
    <w:p w:rsidR="00C40530" w:rsidRPr="00CD5AFD" w:rsidRDefault="00C40530" w:rsidP="00C40530">
      <w:pPr>
        <w:spacing w:after="0" w:line="480" w:lineRule="auto"/>
        <w:jc w:val="both"/>
        <w:rPr>
          <w:sz w:val="20"/>
          <w:szCs w:val="20"/>
        </w:rPr>
      </w:pPr>
      <w:r w:rsidRPr="00CD5AFD">
        <w:rPr>
          <w:sz w:val="20"/>
          <w:szCs w:val="20"/>
        </w:rPr>
        <w:lastRenderedPageBreak/>
        <w:t xml:space="preserve">Coliva, A. 2019 “Testimonial hinges”, </w:t>
      </w:r>
      <w:r w:rsidRPr="00CD5AFD">
        <w:rPr>
          <w:i/>
          <w:sz w:val="20"/>
          <w:szCs w:val="20"/>
        </w:rPr>
        <w:t>Philosophical Issues</w:t>
      </w:r>
      <w:r w:rsidR="00341CD9" w:rsidRPr="00CD5AFD">
        <w:rPr>
          <w:sz w:val="20"/>
          <w:szCs w:val="20"/>
        </w:rPr>
        <w:t xml:space="preserve"> </w:t>
      </w:r>
      <w:r w:rsidR="00341CD9" w:rsidRPr="00CD5AFD">
        <w:rPr>
          <w:rFonts w:cs="Arial"/>
          <w:color w:val="333333"/>
          <w:sz w:val="20"/>
          <w:szCs w:val="20"/>
          <w:shd w:val="clear" w:color="auto" w:fill="FFFFFF"/>
        </w:rPr>
        <w:t>29, pp. 53-68.</w:t>
      </w:r>
    </w:p>
    <w:p w:rsidR="00C40530" w:rsidRPr="00CD5AFD" w:rsidRDefault="0009478A" w:rsidP="00C40530">
      <w:pPr>
        <w:spacing w:after="0" w:line="480" w:lineRule="auto"/>
        <w:jc w:val="both"/>
        <w:rPr>
          <w:sz w:val="20"/>
          <w:szCs w:val="20"/>
        </w:rPr>
      </w:pPr>
      <w:r w:rsidRPr="00CD5AFD">
        <w:rPr>
          <w:sz w:val="20"/>
          <w:szCs w:val="20"/>
        </w:rPr>
        <w:t xml:space="preserve">Coliva, A. 2020a </w:t>
      </w:r>
      <w:r w:rsidR="00C40530" w:rsidRPr="00CD5AFD">
        <w:rPr>
          <w:sz w:val="20"/>
          <w:szCs w:val="20"/>
        </w:rPr>
        <w:t xml:space="preserve">“Social hinge epistemology”, in J. Lackey and A. McGlynn (eds.) </w:t>
      </w:r>
      <w:r w:rsidR="00C40530" w:rsidRPr="00CD5AFD">
        <w:rPr>
          <w:i/>
          <w:sz w:val="20"/>
          <w:szCs w:val="20"/>
        </w:rPr>
        <w:t>The Oxford Handbook of Social Epistemology</w:t>
      </w:r>
      <w:r w:rsidR="00C40530" w:rsidRPr="00CD5AFD">
        <w:rPr>
          <w:sz w:val="20"/>
          <w:szCs w:val="20"/>
        </w:rPr>
        <w:t>, Oxford, Oxford University Press, forthcoming.</w:t>
      </w:r>
    </w:p>
    <w:p w:rsidR="00341CD9" w:rsidRPr="00CD5AFD" w:rsidRDefault="00341CD9" w:rsidP="00C40530">
      <w:pPr>
        <w:spacing w:after="0" w:line="480" w:lineRule="auto"/>
        <w:jc w:val="both"/>
        <w:rPr>
          <w:sz w:val="20"/>
          <w:szCs w:val="20"/>
        </w:rPr>
      </w:pPr>
      <w:r w:rsidRPr="00CD5AFD">
        <w:rPr>
          <w:sz w:val="20"/>
          <w:szCs w:val="20"/>
        </w:rPr>
        <w:t xml:space="preserve">Coliva, A. 2020b </w:t>
      </w:r>
      <w:r w:rsidRPr="00CD5AFD">
        <w:rPr>
          <w:rFonts w:cs="Arial"/>
          <w:color w:val="333333"/>
          <w:sz w:val="20"/>
          <w:szCs w:val="20"/>
          <w:shd w:val="clear" w:color="auto" w:fill="FFFFFF"/>
        </w:rPr>
        <w:t xml:space="preserve">“Against </w:t>
      </w:r>
      <w:proofErr w:type="spellStart"/>
      <w:r w:rsidRPr="00CD5AFD">
        <w:rPr>
          <w:rFonts w:cs="Arial"/>
          <w:color w:val="333333"/>
          <w:sz w:val="20"/>
          <w:szCs w:val="20"/>
          <w:shd w:val="clear" w:color="auto" w:fill="FFFFFF"/>
        </w:rPr>
        <w:t>Wittgensteinian</w:t>
      </w:r>
      <w:proofErr w:type="spellEnd"/>
      <w:r w:rsidRPr="00CD5AFD">
        <w:rPr>
          <w:rFonts w:cs="Arial"/>
          <w:color w:val="333333"/>
          <w:sz w:val="20"/>
          <w:szCs w:val="20"/>
          <w:shd w:val="clear" w:color="auto" w:fill="FFFFFF"/>
        </w:rPr>
        <w:t xml:space="preserve"> entitlements”, in N. Jang Lee Ling Pedersen and P. Graham (eds.) </w:t>
      </w:r>
      <w:r w:rsidRPr="00CD5AFD">
        <w:rPr>
          <w:rFonts w:cs="Arial"/>
          <w:i/>
          <w:color w:val="333333"/>
          <w:sz w:val="20"/>
          <w:szCs w:val="20"/>
          <w:shd w:val="clear" w:color="auto" w:fill="FFFFFF"/>
        </w:rPr>
        <w:t>Epistemic Entitlement</w:t>
      </w:r>
      <w:r w:rsidRPr="00CD5AFD">
        <w:rPr>
          <w:rFonts w:cs="Arial"/>
          <w:color w:val="333333"/>
          <w:sz w:val="20"/>
          <w:szCs w:val="20"/>
          <w:shd w:val="clear" w:color="auto" w:fill="FFFFFF"/>
        </w:rPr>
        <w:t>, Oxford, Oxford University Press, pp. 327-343.</w:t>
      </w:r>
    </w:p>
    <w:p w:rsidR="00341CD9" w:rsidRDefault="00341CD9" w:rsidP="00C40530">
      <w:pPr>
        <w:spacing w:after="0" w:line="480" w:lineRule="auto"/>
        <w:jc w:val="both"/>
        <w:rPr>
          <w:sz w:val="20"/>
          <w:szCs w:val="20"/>
        </w:rPr>
      </w:pPr>
      <w:r>
        <w:rPr>
          <w:sz w:val="20"/>
          <w:szCs w:val="20"/>
        </w:rPr>
        <w:t xml:space="preserve">Coliva, A. 2020c “I know, I know, I know. Hinge epistemology, </w:t>
      </w:r>
      <w:proofErr w:type="spellStart"/>
      <w:r>
        <w:rPr>
          <w:sz w:val="20"/>
          <w:szCs w:val="20"/>
        </w:rPr>
        <w:t>invariantism</w:t>
      </w:r>
      <w:proofErr w:type="spellEnd"/>
      <w:r>
        <w:rPr>
          <w:sz w:val="20"/>
          <w:szCs w:val="20"/>
        </w:rPr>
        <w:t xml:space="preserve"> and skepticism, in C. </w:t>
      </w:r>
      <w:proofErr w:type="spellStart"/>
      <w:r w:rsidR="00CD5AFD">
        <w:rPr>
          <w:sz w:val="20"/>
          <w:szCs w:val="20"/>
        </w:rPr>
        <w:t>Kyria</w:t>
      </w:r>
      <w:r>
        <w:rPr>
          <w:sz w:val="20"/>
          <w:szCs w:val="20"/>
        </w:rPr>
        <w:t>cou</w:t>
      </w:r>
      <w:proofErr w:type="spellEnd"/>
      <w:r w:rsidR="00CD5AFD">
        <w:rPr>
          <w:sz w:val="20"/>
          <w:szCs w:val="20"/>
        </w:rPr>
        <w:t xml:space="preserve"> and K. Wallbridge (eds.) </w:t>
      </w:r>
      <w:r w:rsidR="00CD5AFD" w:rsidRPr="00CD5AFD">
        <w:rPr>
          <w:i/>
          <w:sz w:val="20"/>
          <w:szCs w:val="20"/>
        </w:rPr>
        <w:t xml:space="preserve">Skeptical </w:t>
      </w:r>
      <w:proofErr w:type="spellStart"/>
      <w:r w:rsidR="00CD5AFD" w:rsidRPr="00CD5AFD">
        <w:rPr>
          <w:i/>
          <w:sz w:val="20"/>
          <w:szCs w:val="20"/>
        </w:rPr>
        <w:t>Invariantism</w:t>
      </w:r>
      <w:proofErr w:type="spellEnd"/>
      <w:r w:rsidR="00CD5AFD" w:rsidRPr="00CD5AFD">
        <w:rPr>
          <w:i/>
          <w:sz w:val="20"/>
          <w:szCs w:val="20"/>
        </w:rPr>
        <w:t xml:space="preserve"> Reconsidered</w:t>
      </w:r>
      <w:r w:rsidR="00CD5AFD">
        <w:rPr>
          <w:sz w:val="20"/>
          <w:szCs w:val="20"/>
        </w:rPr>
        <w:t>, London, Routledge, forthcoming.</w:t>
      </w:r>
    </w:p>
    <w:p w:rsidR="00CD5AFD" w:rsidRDefault="00CD5AFD" w:rsidP="00C40530">
      <w:pPr>
        <w:spacing w:after="0" w:line="480" w:lineRule="auto"/>
        <w:jc w:val="both"/>
        <w:rPr>
          <w:sz w:val="20"/>
          <w:szCs w:val="20"/>
        </w:rPr>
      </w:pPr>
      <w:r w:rsidRPr="00CD5AFD">
        <w:rPr>
          <w:sz w:val="20"/>
          <w:szCs w:val="20"/>
        </w:rPr>
        <w:t>Coliva, A. and Palmira, M. 2020 “Disagreement unhinged—</w:t>
      </w:r>
      <w:proofErr w:type="spellStart"/>
      <w:r w:rsidRPr="00CD5AFD">
        <w:rPr>
          <w:sz w:val="20"/>
          <w:szCs w:val="20"/>
        </w:rPr>
        <w:t>constitutivism</w:t>
      </w:r>
      <w:proofErr w:type="spellEnd"/>
      <w:r w:rsidRPr="00CD5AFD">
        <w:rPr>
          <w:sz w:val="20"/>
          <w:szCs w:val="20"/>
        </w:rPr>
        <w:t xml:space="preserve"> style”, </w:t>
      </w:r>
      <w:proofErr w:type="spellStart"/>
      <w:r w:rsidRPr="00CD5AFD">
        <w:rPr>
          <w:i/>
          <w:sz w:val="20"/>
          <w:szCs w:val="20"/>
        </w:rPr>
        <w:t>Metaphilosophy</w:t>
      </w:r>
      <w:proofErr w:type="spellEnd"/>
      <w:r w:rsidRPr="00CD5AFD">
        <w:rPr>
          <w:sz w:val="20"/>
          <w:szCs w:val="20"/>
        </w:rPr>
        <w:t>, forthcoming.</w:t>
      </w:r>
    </w:p>
    <w:p w:rsidR="00CD5AFD" w:rsidRPr="00CD5AFD" w:rsidRDefault="00CD5AFD" w:rsidP="00CD5AFD">
      <w:pPr>
        <w:spacing w:after="0" w:line="480" w:lineRule="auto"/>
        <w:jc w:val="both"/>
        <w:textAlignment w:val="baseline"/>
        <w:rPr>
          <w:rFonts w:ascii="Calibri" w:eastAsia="Times New Roman" w:hAnsi="Calibri" w:cs="Times New Roman"/>
          <w:color w:val="000000"/>
          <w:sz w:val="20"/>
          <w:szCs w:val="20"/>
          <w:lang w:eastAsia="it-IT"/>
        </w:rPr>
      </w:pPr>
      <w:proofErr w:type="spellStart"/>
      <w:r w:rsidRPr="00CD5AFD">
        <w:rPr>
          <w:rFonts w:ascii="Calibri" w:eastAsia="Times New Roman" w:hAnsi="Calibri" w:cs="Times New Roman"/>
          <w:color w:val="000000"/>
          <w:sz w:val="20"/>
          <w:szCs w:val="20"/>
          <w:lang w:eastAsia="it-IT"/>
        </w:rPr>
        <w:t>Dretske</w:t>
      </w:r>
      <w:proofErr w:type="spellEnd"/>
      <w:r w:rsidRPr="00CD5AFD">
        <w:rPr>
          <w:rFonts w:ascii="Calibri" w:eastAsia="Times New Roman" w:hAnsi="Calibri" w:cs="Times New Roman"/>
          <w:color w:val="000000"/>
          <w:sz w:val="20"/>
          <w:szCs w:val="20"/>
          <w:lang w:eastAsia="it-IT"/>
        </w:rPr>
        <w:t xml:space="preserve">, F. 1970 “Epistemic operators”, </w:t>
      </w:r>
      <w:r w:rsidRPr="00CD5AFD">
        <w:rPr>
          <w:rFonts w:ascii="Calibri" w:hAnsi="Calibri"/>
          <w:i/>
          <w:sz w:val="20"/>
          <w:szCs w:val="20"/>
        </w:rPr>
        <w:t>Journal of Philosophy</w:t>
      </w:r>
      <w:r w:rsidRPr="00CD5AFD">
        <w:rPr>
          <w:rFonts w:ascii="Calibri" w:hAnsi="Calibri"/>
          <w:sz w:val="20"/>
          <w:szCs w:val="20"/>
        </w:rPr>
        <w:t xml:space="preserve"> 67, pp. 1007-1023.</w:t>
      </w:r>
    </w:p>
    <w:p w:rsidR="00473410" w:rsidRDefault="00473410" w:rsidP="00C40530">
      <w:pPr>
        <w:spacing w:after="0" w:line="480" w:lineRule="auto"/>
        <w:jc w:val="both"/>
        <w:rPr>
          <w:sz w:val="20"/>
          <w:szCs w:val="20"/>
        </w:rPr>
      </w:pPr>
      <w:r w:rsidRPr="00345D55">
        <w:rPr>
          <w:sz w:val="20"/>
          <w:szCs w:val="20"/>
        </w:rPr>
        <w:t>Kusch, M. 2016</w:t>
      </w:r>
      <w:r>
        <w:rPr>
          <w:sz w:val="20"/>
          <w:szCs w:val="20"/>
        </w:rPr>
        <w:t>a</w:t>
      </w:r>
      <w:r w:rsidRPr="00345D55">
        <w:rPr>
          <w:sz w:val="20"/>
          <w:szCs w:val="20"/>
        </w:rPr>
        <w:t xml:space="preserve"> “Wittgenstein’s </w:t>
      </w:r>
      <w:r w:rsidRPr="00345D55">
        <w:rPr>
          <w:i/>
          <w:sz w:val="20"/>
          <w:szCs w:val="20"/>
        </w:rPr>
        <w:t>On Certainty</w:t>
      </w:r>
      <w:r w:rsidRPr="00345D55">
        <w:rPr>
          <w:sz w:val="20"/>
          <w:szCs w:val="20"/>
        </w:rPr>
        <w:t xml:space="preserve"> and relativism”, in </w:t>
      </w:r>
      <w:proofErr w:type="spellStart"/>
      <w:r w:rsidRPr="00345D55">
        <w:rPr>
          <w:sz w:val="20"/>
          <w:szCs w:val="20"/>
        </w:rPr>
        <w:t>Rinofner-Kreidl</w:t>
      </w:r>
      <w:proofErr w:type="spellEnd"/>
      <w:r w:rsidRPr="00345D55">
        <w:rPr>
          <w:sz w:val="20"/>
          <w:szCs w:val="20"/>
        </w:rPr>
        <w:t xml:space="preserve"> S. &amp; </w:t>
      </w:r>
      <w:proofErr w:type="spellStart"/>
      <w:r w:rsidRPr="00345D55">
        <w:rPr>
          <w:sz w:val="20"/>
          <w:szCs w:val="20"/>
        </w:rPr>
        <w:t>Wiltsche</w:t>
      </w:r>
      <w:proofErr w:type="spellEnd"/>
      <w:r w:rsidRPr="00345D55">
        <w:rPr>
          <w:sz w:val="20"/>
          <w:szCs w:val="20"/>
        </w:rPr>
        <w:t xml:space="preserve"> H. A. (eds) </w:t>
      </w:r>
      <w:r w:rsidRPr="00345D55">
        <w:rPr>
          <w:i/>
          <w:sz w:val="20"/>
          <w:szCs w:val="20"/>
        </w:rPr>
        <w:t>Analytic and continental philosophy: methods and perspectives</w:t>
      </w:r>
      <w:r>
        <w:rPr>
          <w:sz w:val="20"/>
          <w:szCs w:val="20"/>
        </w:rPr>
        <w:t>, Berlin/Boston,</w:t>
      </w:r>
      <w:r w:rsidRPr="00345D55">
        <w:rPr>
          <w:sz w:val="20"/>
          <w:szCs w:val="20"/>
        </w:rPr>
        <w:t xml:space="preserve"> De Gruyter.</w:t>
      </w:r>
    </w:p>
    <w:p w:rsidR="00473410" w:rsidRPr="00460D97" w:rsidRDefault="00473410" w:rsidP="00C40530">
      <w:pPr>
        <w:spacing w:after="0" w:line="480" w:lineRule="auto"/>
        <w:jc w:val="both"/>
        <w:rPr>
          <w:sz w:val="20"/>
          <w:szCs w:val="20"/>
        </w:rPr>
      </w:pPr>
      <w:r>
        <w:rPr>
          <w:sz w:val="20"/>
          <w:szCs w:val="20"/>
        </w:rPr>
        <w:t xml:space="preserve">Kusch, M. 2016b “Wittgenstein on mathematics and certainty”, in A. Coliva &amp; D. </w:t>
      </w:r>
      <w:proofErr w:type="spellStart"/>
      <w:r>
        <w:rPr>
          <w:sz w:val="20"/>
          <w:szCs w:val="20"/>
        </w:rPr>
        <w:t>Moyal</w:t>
      </w:r>
      <w:proofErr w:type="spellEnd"/>
      <w:r>
        <w:rPr>
          <w:sz w:val="20"/>
          <w:szCs w:val="20"/>
        </w:rPr>
        <w:t xml:space="preserve">-Sharrock (eds.) </w:t>
      </w:r>
      <w:r>
        <w:rPr>
          <w:i/>
          <w:sz w:val="20"/>
          <w:szCs w:val="20"/>
        </w:rPr>
        <w:t>Hinge Epistemology</w:t>
      </w:r>
      <w:r>
        <w:rPr>
          <w:sz w:val="20"/>
          <w:szCs w:val="20"/>
        </w:rPr>
        <w:t>, Leiden, Brill, 48-71.</w:t>
      </w:r>
    </w:p>
    <w:p w:rsidR="00B71371" w:rsidRDefault="00B71371" w:rsidP="00C40530">
      <w:pPr>
        <w:spacing w:after="0" w:line="480" w:lineRule="auto"/>
        <w:jc w:val="both"/>
        <w:rPr>
          <w:sz w:val="20"/>
          <w:szCs w:val="20"/>
        </w:rPr>
      </w:pPr>
      <w:proofErr w:type="spellStart"/>
      <w:r w:rsidRPr="00460D97">
        <w:rPr>
          <w:sz w:val="20"/>
          <w:szCs w:val="20"/>
        </w:rPr>
        <w:t>Moyal</w:t>
      </w:r>
      <w:proofErr w:type="spellEnd"/>
      <w:r w:rsidRPr="00460D97">
        <w:rPr>
          <w:sz w:val="20"/>
          <w:szCs w:val="20"/>
        </w:rPr>
        <w:t>-Sharrock, D. 200</w:t>
      </w:r>
      <w:r w:rsidR="004C6263">
        <w:rPr>
          <w:sz w:val="20"/>
          <w:szCs w:val="20"/>
        </w:rPr>
        <w:t>5</w:t>
      </w:r>
      <w:r w:rsidRPr="00460D97">
        <w:rPr>
          <w:sz w:val="20"/>
          <w:szCs w:val="20"/>
        </w:rPr>
        <w:t xml:space="preserve"> </w:t>
      </w:r>
      <w:r w:rsidRPr="00460D97">
        <w:rPr>
          <w:i/>
          <w:sz w:val="20"/>
          <w:szCs w:val="20"/>
        </w:rPr>
        <w:t xml:space="preserve">Understanding Wittgenstein’s </w:t>
      </w:r>
      <w:r w:rsidRPr="00460D97">
        <w:rPr>
          <w:sz w:val="20"/>
          <w:szCs w:val="20"/>
        </w:rPr>
        <w:t>On Certainty, Basingstoke, Palgrave Macmillan.</w:t>
      </w:r>
    </w:p>
    <w:p w:rsidR="00CD5AFD" w:rsidRPr="00CD5AFD" w:rsidRDefault="00CD5AFD" w:rsidP="00CD5AFD">
      <w:pPr>
        <w:spacing w:after="0" w:line="480" w:lineRule="auto"/>
        <w:jc w:val="both"/>
        <w:textAlignment w:val="baseline"/>
        <w:rPr>
          <w:rFonts w:eastAsia="Times New Roman" w:cs="Times New Roman"/>
          <w:color w:val="000000"/>
          <w:sz w:val="20"/>
          <w:szCs w:val="20"/>
          <w:lang w:eastAsia="it-IT"/>
        </w:rPr>
      </w:pPr>
      <w:r w:rsidRPr="00CD5AFD">
        <w:rPr>
          <w:rFonts w:eastAsia="Times New Roman" w:cs="Times New Roman"/>
          <w:color w:val="000000"/>
          <w:sz w:val="20"/>
          <w:szCs w:val="20"/>
          <w:lang w:eastAsia="it-IT"/>
        </w:rPr>
        <w:t xml:space="preserve">Nozick, R. 1981 </w:t>
      </w:r>
      <w:r w:rsidRPr="00CD5AFD">
        <w:rPr>
          <w:rFonts w:eastAsia="Times New Roman" w:cs="Times New Roman"/>
          <w:i/>
          <w:color w:val="000000"/>
          <w:sz w:val="20"/>
          <w:szCs w:val="20"/>
          <w:lang w:eastAsia="it-IT"/>
        </w:rPr>
        <w:t>Philosophical Explanations</w:t>
      </w:r>
      <w:r w:rsidRPr="00CD5AFD">
        <w:rPr>
          <w:rFonts w:eastAsia="Times New Roman" w:cs="Times New Roman"/>
          <w:color w:val="000000"/>
          <w:sz w:val="20"/>
          <w:szCs w:val="20"/>
          <w:lang w:eastAsia="it-IT"/>
        </w:rPr>
        <w:t xml:space="preserve">, </w:t>
      </w:r>
      <w:r w:rsidRPr="00CD5AFD">
        <w:rPr>
          <w:sz w:val="20"/>
          <w:szCs w:val="20"/>
        </w:rPr>
        <w:t>Cambridge (Mass.), Harvard University Press.</w:t>
      </w:r>
    </w:p>
    <w:p w:rsidR="00473410" w:rsidRPr="00460D97" w:rsidRDefault="00473410" w:rsidP="00C40530">
      <w:pPr>
        <w:spacing w:after="0" w:line="480" w:lineRule="auto"/>
        <w:jc w:val="both"/>
        <w:rPr>
          <w:sz w:val="20"/>
          <w:szCs w:val="20"/>
        </w:rPr>
      </w:pPr>
      <w:r w:rsidRPr="006B5FCD">
        <w:rPr>
          <w:sz w:val="20"/>
          <w:szCs w:val="20"/>
        </w:rPr>
        <w:t xml:space="preserve">Pritchard, D. 2016 </w:t>
      </w:r>
      <w:r w:rsidRPr="006B5FCD">
        <w:rPr>
          <w:i/>
          <w:sz w:val="20"/>
          <w:szCs w:val="20"/>
        </w:rPr>
        <w:t>Epistemic Angst</w:t>
      </w:r>
      <w:r w:rsidRPr="006B5FCD">
        <w:rPr>
          <w:sz w:val="20"/>
          <w:szCs w:val="20"/>
        </w:rPr>
        <w:t xml:space="preserve">. </w:t>
      </w:r>
      <w:r w:rsidRPr="006B5FCD">
        <w:rPr>
          <w:i/>
          <w:sz w:val="20"/>
          <w:szCs w:val="20"/>
        </w:rPr>
        <w:t>Radical Skepticism and the Groundlessness of Our Believing</w:t>
      </w:r>
      <w:r w:rsidRPr="006B5FCD">
        <w:rPr>
          <w:sz w:val="20"/>
          <w:szCs w:val="20"/>
        </w:rPr>
        <w:t>, Princeton, Princeton University Press.</w:t>
      </w:r>
    </w:p>
    <w:p w:rsidR="00B71371" w:rsidRDefault="00B71371" w:rsidP="00C40530">
      <w:pPr>
        <w:spacing w:after="0" w:line="480" w:lineRule="auto"/>
        <w:jc w:val="both"/>
        <w:rPr>
          <w:sz w:val="20"/>
          <w:szCs w:val="20"/>
        </w:rPr>
      </w:pPr>
      <w:r w:rsidRPr="00460D97">
        <w:rPr>
          <w:sz w:val="20"/>
          <w:szCs w:val="20"/>
        </w:rPr>
        <w:t xml:space="preserve">Pryor, J. 2004 “What’s wrong with Moore’s argument?”, </w:t>
      </w:r>
      <w:r w:rsidRPr="00460D97">
        <w:rPr>
          <w:i/>
          <w:sz w:val="20"/>
          <w:szCs w:val="20"/>
        </w:rPr>
        <w:t xml:space="preserve">Philosophical Issues </w:t>
      </w:r>
      <w:r w:rsidRPr="00460D97">
        <w:rPr>
          <w:sz w:val="20"/>
          <w:szCs w:val="20"/>
        </w:rPr>
        <w:t>14, pp. 349-378.</w:t>
      </w:r>
    </w:p>
    <w:p w:rsidR="00473410" w:rsidRPr="006B5FCD" w:rsidRDefault="00473410" w:rsidP="00C40530">
      <w:pPr>
        <w:spacing w:after="0" w:line="480" w:lineRule="auto"/>
        <w:ind w:left="567" w:hanging="567"/>
        <w:jc w:val="both"/>
        <w:rPr>
          <w:sz w:val="20"/>
          <w:szCs w:val="20"/>
        </w:rPr>
      </w:pPr>
      <w:proofErr w:type="spellStart"/>
      <w:r w:rsidRPr="006B5FCD">
        <w:rPr>
          <w:sz w:val="20"/>
          <w:szCs w:val="20"/>
        </w:rPr>
        <w:t>Schönbaumsfeld</w:t>
      </w:r>
      <w:proofErr w:type="spellEnd"/>
      <w:r w:rsidRPr="006B5FCD">
        <w:rPr>
          <w:sz w:val="20"/>
          <w:szCs w:val="20"/>
        </w:rPr>
        <w:t xml:space="preserve">, G. 2017 </w:t>
      </w:r>
      <w:r w:rsidRPr="006B5FCD">
        <w:rPr>
          <w:i/>
          <w:sz w:val="20"/>
          <w:szCs w:val="20"/>
        </w:rPr>
        <w:t>The Illusion of Doubt</w:t>
      </w:r>
      <w:r w:rsidRPr="006B5FCD">
        <w:rPr>
          <w:sz w:val="20"/>
          <w:szCs w:val="20"/>
        </w:rPr>
        <w:t>, Oxford, Oxford University Press.</w:t>
      </w:r>
    </w:p>
    <w:p w:rsidR="00473410" w:rsidRPr="006B5FCD" w:rsidRDefault="00473410" w:rsidP="00C40530">
      <w:pPr>
        <w:spacing w:after="0" w:line="480" w:lineRule="auto"/>
        <w:ind w:left="567" w:hanging="567"/>
        <w:jc w:val="both"/>
        <w:rPr>
          <w:sz w:val="20"/>
          <w:szCs w:val="20"/>
        </w:rPr>
      </w:pPr>
      <w:r w:rsidRPr="006B5FCD">
        <w:rPr>
          <w:sz w:val="20"/>
          <w:szCs w:val="20"/>
        </w:rPr>
        <w:t xml:space="preserve">Strawson, P. 1985 </w:t>
      </w:r>
      <w:r w:rsidRPr="006B5FCD">
        <w:rPr>
          <w:i/>
          <w:sz w:val="20"/>
          <w:szCs w:val="20"/>
        </w:rPr>
        <w:t>Naturalism and Skepticism. Some Varieties</w:t>
      </w:r>
      <w:r w:rsidRPr="006B5FCD">
        <w:rPr>
          <w:sz w:val="20"/>
          <w:szCs w:val="20"/>
        </w:rPr>
        <w:t>, London, Methuen.</w:t>
      </w:r>
    </w:p>
    <w:p w:rsidR="00473410" w:rsidRPr="00460D97" w:rsidRDefault="00473410" w:rsidP="00C40530">
      <w:pPr>
        <w:spacing w:after="0" w:line="480" w:lineRule="auto"/>
        <w:ind w:left="567" w:hanging="567"/>
        <w:jc w:val="both"/>
        <w:rPr>
          <w:sz w:val="20"/>
          <w:szCs w:val="20"/>
        </w:rPr>
      </w:pPr>
      <w:r w:rsidRPr="006B5FCD">
        <w:rPr>
          <w:sz w:val="20"/>
          <w:szCs w:val="20"/>
        </w:rPr>
        <w:t xml:space="preserve">Williams, M. 1991 </w:t>
      </w:r>
      <w:r w:rsidRPr="006B5FCD">
        <w:rPr>
          <w:i/>
          <w:sz w:val="20"/>
          <w:szCs w:val="20"/>
        </w:rPr>
        <w:t>Unnatural Doubts</w:t>
      </w:r>
      <w:r w:rsidRPr="006B5FCD">
        <w:rPr>
          <w:sz w:val="20"/>
          <w:szCs w:val="20"/>
        </w:rPr>
        <w:t>, Cambridge (Mass.), Blackwell.</w:t>
      </w:r>
    </w:p>
    <w:p w:rsidR="00B71371" w:rsidRPr="00460D97" w:rsidRDefault="00B71371" w:rsidP="00C40530">
      <w:pPr>
        <w:spacing w:after="0" w:line="480" w:lineRule="auto"/>
        <w:jc w:val="both"/>
        <w:rPr>
          <w:sz w:val="20"/>
          <w:szCs w:val="20"/>
        </w:rPr>
      </w:pPr>
      <w:r w:rsidRPr="00460D97">
        <w:rPr>
          <w:sz w:val="20"/>
          <w:szCs w:val="20"/>
        </w:rPr>
        <w:t xml:space="preserve">Williams, M. 2004a “Wittgenstein’s refutation of idealism”, in D. McManus (ed.) </w:t>
      </w:r>
      <w:r w:rsidRPr="00460D97">
        <w:rPr>
          <w:i/>
          <w:sz w:val="20"/>
          <w:szCs w:val="20"/>
        </w:rPr>
        <w:t xml:space="preserve">Wittgenstein and </w:t>
      </w:r>
      <w:proofErr w:type="spellStart"/>
      <w:r w:rsidRPr="00460D97">
        <w:rPr>
          <w:i/>
          <w:sz w:val="20"/>
          <w:szCs w:val="20"/>
        </w:rPr>
        <w:t>Scepticism</w:t>
      </w:r>
      <w:proofErr w:type="spellEnd"/>
      <w:r w:rsidRPr="00460D97">
        <w:rPr>
          <w:sz w:val="20"/>
          <w:szCs w:val="20"/>
        </w:rPr>
        <w:t>, London-New York, Routledge, pp. 76-96.</w:t>
      </w:r>
    </w:p>
    <w:p w:rsidR="00B71371" w:rsidRPr="00460D97" w:rsidRDefault="00B71371" w:rsidP="00C40530">
      <w:pPr>
        <w:spacing w:after="0" w:line="480" w:lineRule="auto"/>
        <w:jc w:val="both"/>
        <w:rPr>
          <w:sz w:val="20"/>
          <w:szCs w:val="20"/>
        </w:rPr>
      </w:pPr>
      <w:r w:rsidRPr="00460D97">
        <w:rPr>
          <w:sz w:val="20"/>
          <w:szCs w:val="20"/>
        </w:rPr>
        <w:t xml:space="preserve">Williams, M. 2004b “Wittgenstein, truth and certainty”, in M. </w:t>
      </w:r>
      <w:proofErr w:type="spellStart"/>
      <w:r w:rsidRPr="00460D97">
        <w:rPr>
          <w:sz w:val="20"/>
          <w:szCs w:val="20"/>
        </w:rPr>
        <w:t>Koelbel</w:t>
      </w:r>
      <w:proofErr w:type="spellEnd"/>
      <w:r w:rsidRPr="00460D97">
        <w:rPr>
          <w:sz w:val="20"/>
          <w:szCs w:val="20"/>
        </w:rPr>
        <w:t xml:space="preserve"> &amp; B. Weiss (eds.) </w:t>
      </w:r>
      <w:r w:rsidRPr="00460D97">
        <w:rPr>
          <w:i/>
          <w:sz w:val="20"/>
          <w:szCs w:val="20"/>
        </w:rPr>
        <w:t>Wittgenstein’s Lasting Significance</w:t>
      </w:r>
      <w:r w:rsidRPr="00460D97">
        <w:rPr>
          <w:sz w:val="20"/>
          <w:szCs w:val="20"/>
        </w:rPr>
        <w:t>, London-New York, Routledge, pp. 249-284.</w:t>
      </w:r>
    </w:p>
    <w:p w:rsidR="00B71371" w:rsidRPr="00460D97" w:rsidRDefault="00B71371" w:rsidP="00C40530">
      <w:pPr>
        <w:spacing w:after="0" w:line="480" w:lineRule="auto"/>
        <w:jc w:val="both"/>
        <w:rPr>
          <w:sz w:val="20"/>
          <w:szCs w:val="20"/>
        </w:rPr>
      </w:pPr>
      <w:r w:rsidRPr="00460D97">
        <w:rPr>
          <w:sz w:val="20"/>
          <w:szCs w:val="20"/>
        </w:rPr>
        <w:t xml:space="preserve">Williams, M. 2005 “Why Wittgenstein isn’t a foundationalist”, in D. </w:t>
      </w:r>
      <w:proofErr w:type="spellStart"/>
      <w:r w:rsidRPr="00460D97">
        <w:rPr>
          <w:sz w:val="20"/>
          <w:szCs w:val="20"/>
        </w:rPr>
        <w:t>Moyal</w:t>
      </w:r>
      <w:proofErr w:type="spellEnd"/>
      <w:r w:rsidRPr="00460D97">
        <w:rPr>
          <w:sz w:val="20"/>
          <w:szCs w:val="20"/>
        </w:rPr>
        <w:t xml:space="preserve">-Sharrock &amp; W. H. Brenner (eds.) </w:t>
      </w:r>
      <w:r w:rsidRPr="00460D97">
        <w:rPr>
          <w:i/>
          <w:sz w:val="20"/>
          <w:szCs w:val="20"/>
        </w:rPr>
        <w:t xml:space="preserve">Readings of </w:t>
      </w:r>
      <w:r w:rsidRPr="00460D97">
        <w:rPr>
          <w:sz w:val="20"/>
          <w:szCs w:val="20"/>
        </w:rPr>
        <w:t>On Certainty, Basingstoke, Palgrave, pp. 47-58.</w:t>
      </w:r>
    </w:p>
    <w:p w:rsidR="00B71371" w:rsidRPr="00460D97" w:rsidRDefault="00B71371" w:rsidP="00C40530">
      <w:pPr>
        <w:spacing w:after="0" w:line="480" w:lineRule="auto"/>
        <w:jc w:val="both"/>
        <w:rPr>
          <w:sz w:val="20"/>
          <w:szCs w:val="20"/>
        </w:rPr>
      </w:pPr>
      <w:r w:rsidRPr="00460D97">
        <w:rPr>
          <w:sz w:val="20"/>
          <w:szCs w:val="20"/>
        </w:rPr>
        <w:lastRenderedPageBreak/>
        <w:t xml:space="preserve">Wittgenstein, L. 1953 </w:t>
      </w:r>
      <w:r w:rsidRPr="00460D97">
        <w:rPr>
          <w:i/>
          <w:sz w:val="20"/>
          <w:szCs w:val="20"/>
        </w:rPr>
        <w:t>Philosophical Investigations</w:t>
      </w:r>
      <w:r w:rsidRPr="00460D97">
        <w:rPr>
          <w:sz w:val="20"/>
          <w:szCs w:val="20"/>
        </w:rPr>
        <w:t>, Oxford, Basil Blackwell.</w:t>
      </w:r>
    </w:p>
    <w:p w:rsidR="00B71371" w:rsidRDefault="00B71371" w:rsidP="00C40530">
      <w:pPr>
        <w:spacing w:after="0" w:line="480" w:lineRule="auto"/>
        <w:jc w:val="both"/>
        <w:rPr>
          <w:sz w:val="20"/>
          <w:szCs w:val="20"/>
        </w:rPr>
      </w:pPr>
      <w:r w:rsidRPr="00460D97">
        <w:rPr>
          <w:sz w:val="20"/>
          <w:szCs w:val="20"/>
        </w:rPr>
        <w:t xml:space="preserve">Wittgenstein, L. 1961 </w:t>
      </w:r>
      <w:proofErr w:type="spellStart"/>
      <w:r w:rsidRPr="00460D97">
        <w:rPr>
          <w:i/>
          <w:sz w:val="20"/>
          <w:szCs w:val="20"/>
        </w:rPr>
        <w:t>Tractatus</w:t>
      </w:r>
      <w:proofErr w:type="spellEnd"/>
      <w:r w:rsidRPr="00460D97">
        <w:rPr>
          <w:i/>
          <w:sz w:val="20"/>
          <w:szCs w:val="20"/>
        </w:rPr>
        <w:t xml:space="preserve"> Logico-</w:t>
      </w:r>
      <w:proofErr w:type="spellStart"/>
      <w:r w:rsidRPr="00460D97">
        <w:rPr>
          <w:i/>
          <w:sz w:val="20"/>
          <w:szCs w:val="20"/>
        </w:rPr>
        <w:t>Philosophicus</w:t>
      </w:r>
      <w:proofErr w:type="spellEnd"/>
      <w:r w:rsidRPr="00460D97">
        <w:rPr>
          <w:sz w:val="20"/>
          <w:szCs w:val="20"/>
        </w:rPr>
        <w:t>, Oxford, Routledge and Kegan Paul.</w:t>
      </w:r>
    </w:p>
    <w:p w:rsidR="0009478A" w:rsidRPr="00460D97" w:rsidRDefault="0009478A" w:rsidP="00C40530">
      <w:pPr>
        <w:spacing w:after="0" w:line="480" w:lineRule="auto"/>
        <w:jc w:val="both"/>
        <w:rPr>
          <w:sz w:val="20"/>
          <w:szCs w:val="20"/>
        </w:rPr>
      </w:pPr>
      <w:r>
        <w:rPr>
          <w:sz w:val="20"/>
          <w:szCs w:val="20"/>
        </w:rPr>
        <w:t>Wittgenstein, L. 1967</w:t>
      </w:r>
      <w:r w:rsidRPr="00460D97">
        <w:rPr>
          <w:sz w:val="20"/>
          <w:szCs w:val="20"/>
        </w:rPr>
        <w:t xml:space="preserve"> </w:t>
      </w:r>
      <w:r w:rsidRPr="001050A2">
        <w:rPr>
          <w:rFonts w:cs="AdvTT50a2f13e.I"/>
          <w:i/>
          <w:color w:val="131413"/>
          <w:sz w:val="20"/>
          <w:szCs w:val="20"/>
        </w:rPr>
        <w:t>The Remarks on the Foundations of Mathematics</w:t>
      </w:r>
      <w:r>
        <w:rPr>
          <w:rFonts w:cs="AdvTT50a2f13e.I"/>
          <w:color w:val="131413"/>
          <w:sz w:val="20"/>
          <w:szCs w:val="20"/>
        </w:rPr>
        <w:t xml:space="preserve">, </w:t>
      </w:r>
      <w:r w:rsidRPr="00460D97">
        <w:rPr>
          <w:sz w:val="20"/>
          <w:szCs w:val="20"/>
        </w:rPr>
        <w:t>Oxford, Basil Blackwell</w:t>
      </w:r>
      <w:r>
        <w:rPr>
          <w:sz w:val="20"/>
          <w:szCs w:val="20"/>
        </w:rPr>
        <w:t>.</w:t>
      </w:r>
    </w:p>
    <w:p w:rsidR="00B71371" w:rsidRPr="00460D97" w:rsidRDefault="00B71371" w:rsidP="00C40530">
      <w:pPr>
        <w:spacing w:after="0" w:line="480" w:lineRule="auto"/>
        <w:jc w:val="both"/>
        <w:rPr>
          <w:sz w:val="20"/>
          <w:szCs w:val="20"/>
        </w:rPr>
      </w:pPr>
      <w:r w:rsidRPr="00460D97">
        <w:rPr>
          <w:sz w:val="20"/>
          <w:szCs w:val="20"/>
        </w:rPr>
        <w:t xml:space="preserve">Wittgenstein, L. 1969 </w:t>
      </w:r>
      <w:r w:rsidRPr="00460D97">
        <w:rPr>
          <w:i/>
          <w:sz w:val="20"/>
          <w:szCs w:val="20"/>
        </w:rPr>
        <w:t>On Certainty</w:t>
      </w:r>
      <w:r w:rsidRPr="00460D97">
        <w:rPr>
          <w:sz w:val="20"/>
          <w:szCs w:val="20"/>
        </w:rPr>
        <w:t>, Oxford, Basil Blackwell.</w:t>
      </w:r>
    </w:p>
    <w:p w:rsidR="00B71371" w:rsidRPr="00460D97" w:rsidRDefault="00B71371" w:rsidP="00C40530">
      <w:pPr>
        <w:spacing w:after="0" w:line="480" w:lineRule="auto"/>
        <w:jc w:val="both"/>
        <w:rPr>
          <w:sz w:val="20"/>
          <w:szCs w:val="20"/>
        </w:rPr>
      </w:pPr>
      <w:r w:rsidRPr="00460D97">
        <w:rPr>
          <w:sz w:val="20"/>
          <w:szCs w:val="20"/>
        </w:rPr>
        <w:t xml:space="preserve">Wright, C. 1985 “Facts and certainty”, </w:t>
      </w:r>
      <w:r w:rsidRPr="00460D97">
        <w:rPr>
          <w:i/>
          <w:sz w:val="20"/>
          <w:szCs w:val="20"/>
        </w:rPr>
        <w:t>Proceedings of the British Academy</w:t>
      </w:r>
      <w:r w:rsidRPr="00460D97">
        <w:rPr>
          <w:sz w:val="20"/>
          <w:szCs w:val="20"/>
        </w:rPr>
        <w:t xml:space="preserve"> 71, pp. 429-472.</w:t>
      </w:r>
    </w:p>
    <w:p w:rsidR="00B71371" w:rsidRDefault="00B71371" w:rsidP="00C40530">
      <w:pPr>
        <w:spacing w:after="0" w:line="480" w:lineRule="auto"/>
        <w:jc w:val="both"/>
        <w:rPr>
          <w:sz w:val="20"/>
          <w:szCs w:val="20"/>
        </w:rPr>
      </w:pPr>
      <w:r w:rsidRPr="00460D97">
        <w:rPr>
          <w:sz w:val="20"/>
          <w:szCs w:val="20"/>
        </w:rPr>
        <w:t xml:space="preserve">Wright, C. 2004 “Warrant for nothing (and foundations for free)?”, </w:t>
      </w:r>
      <w:r w:rsidRPr="00460D97">
        <w:rPr>
          <w:i/>
          <w:sz w:val="20"/>
          <w:szCs w:val="20"/>
        </w:rPr>
        <w:t>Aristotelian Society</w:t>
      </w:r>
      <w:r w:rsidRPr="00460D97">
        <w:rPr>
          <w:sz w:val="20"/>
          <w:szCs w:val="20"/>
        </w:rPr>
        <w:t xml:space="preserve"> </w:t>
      </w:r>
      <w:r w:rsidRPr="00460D97">
        <w:rPr>
          <w:i/>
          <w:sz w:val="20"/>
          <w:szCs w:val="20"/>
        </w:rPr>
        <w:t>Supplementary Volume</w:t>
      </w:r>
      <w:r w:rsidRPr="00460D97">
        <w:rPr>
          <w:sz w:val="20"/>
          <w:szCs w:val="20"/>
        </w:rPr>
        <w:t xml:space="preserve"> 78/1, pp. 167-212.</w:t>
      </w:r>
    </w:p>
    <w:p w:rsidR="00473410" w:rsidRPr="00460D97" w:rsidRDefault="00473410" w:rsidP="004C6263">
      <w:pPr>
        <w:spacing w:after="0" w:line="480" w:lineRule="auto"/>
        <w:jc w:val="both"/>
        <w:rPr>
          <w:sz w:val="20"/>
          <w:szCs w:val="20"/>
        </w:rPr>
      </w:pPr>
      <w:r w:rsidRPr="006B5FCD">
        <w:rPr>
          <w:sz w:val="20"/>
          <w:szCs w:val="20"/>
        </w:rPr>
        <w:t xml:space="preserve">Wright, C. 2014 “On epistemic entitlement (II): welfare state epistemology”, in D. Dodd &amp; E. </w:t>
      </w:r>
      <w:proofErr w:type="spellStart"/>
      <w:r w:rsidRPr="006B5FCD">
        <w:rPr>
          <w:sz w:val="20"/>
          <w:szCs w:val="20"/>
        </w:rPr>
        <w:t>Zardini</w:t>
      </w:r>
      <w:proofErr w:type="spellEnd"/>
      <w:r w:rsidRPr="006B5FCD">
        <w:rPr>
          <w:sz w:val="20"/>
          <w:szCs w:val="20"/>
        </w:rPr>
        <w:t xml:space="preserve"> (eds.) </w:t>
      </w:r>
      <w:proofErr w:type="spellStart"/>
      <w:r w:rsidRPr="006B5FCD">
        <w:rPr>
          <w:i/>
          <w:sz w:val="20"/>
          <w:szCs w:val="20"/>
        </w:rPr>
        <w:t>Scepticism</w:t>
      </w:r>
      <w:proofErr w:type="spellEnd"/>
      <w:r w:rsidRPr="006B5FCD">
        <w:rPr>
          <w:i/>
          <w:sz w:val="20"/>
          <w:szCs w:val="20"/>
        </w:rPr>
        <w:t xml:space="preserve"> and Perceptual Justification</w:t>
      </w:r>
      <w:r w:rsidRPr="006B5FCD">
        <w:rPr>
          <w:sz w:val="20"/>
          <w:szCs w:val="20"/>
        </w:rPr>
        <w:t>, Oxford, Oxford University Press, 213-247.</w:t>
      </w:r>
    </w:p>
    <w:sectPr w:rsidR="00473410" w:rsidRPr="00460D97">
      <w:footerReference w:type="default" r:id="rId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AE6" w:rsidRDefault="00A24AE6" w:rsidP="00AD19CC">
      <w:pPr>
        <w:spacing w:after="0" w:line="240" w:lineRule="auto"/>
      </w:pPr>
      <w:r>
        <w:separator/>
      </w:r>
    </w:p>
  </w:endnote>
  <w:endnote w:type="continuationSeparator" w:id="0">
    <w:p w:rsidR="00A24AE6" w:rsidRDefault="00A24AE6" w:rsidP="00AD1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TT3713a231">
    <w:panose1 w:val="00000000000000000000"/>
    <w:charset w:val="00"/>
    <w:family w:val="roman"/>
    <w:notTrueType/>
    <w:pitch w:val="default"/>
    <w:sig w:usb0="00000003" w:usb1="00000000" w:usb2="00000000" w:usb3="00000000" w:csb0="00000001" w:csb1="00000000"/>
  </w:font>
  <w:font w:name="AdvTT3713a231+20">
    <w:panose1 w:val="00000000000000000000"/>
    <w:charset w:val="00"/>
    <w:family w:val="swiss"/>
    <w:notTrueType/>
    <w:pitch w:val="default"/>
    <w:sig w:usb0="00000003" w:usb1="00000000" w:usb2="00000000" w:usb3="00000000" w:csb0="00000001" w:csb1="00000000"/>
  </w:font>
  <w:font w:name="AdvTT50a2f13e.I">
    <w:panose1 w:val="00000000000000000000"/>
    <w:charset w:val="00"/>
    <w:family w:val="swiss"/>
    <w:notTrueType/>
    <w:pitch w:val="default"/>
    <w:sig w:usb0="00000003" w:usb1="00000000" w:usb2="00000000" w:usb3="00000000" w:csb0="00000001" w:csb1="00000000"/>
  </w:font>
  <w:font w:name="AdvTTb8864ccf.B">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3783328"/>
      <w:docPartObj>
        <w:docPartGallery w:val="Page Numbers (Bottom of Page)"/>
        <w:docPartUnique/>
      </w:docPartObj>
    </w:sdtPr>
    <w:sdtEndPr/>
    <w:sdtContent>
      <w:p w:rsidR="005945C1" w:rsidRDefault="005945C1">
        <w:pPr>
          <w:pStyle w:val="Footer"/>
          <w:jc w:val="right"/>
        </w:pPr>
        <w:r>
          <w:fldChar w:fldCharType="begin"/>
        </w:r>
        <w:r>
          <w:instrText>PAGE   \* MERGEFORMAT</w:instrText>
        </w:r>
        <w:r>
          <w:fldChar w:fldCharType="separate"/>
        </w:r>
        <w:r w:rsidR="00607538" w:rsidRPr="00607538">
          <w:rPr>
            <w:noProof/>
            <w:lang w:val="it-IT"/>
          </w:rPr>
          <w:t>21</w:t>
        </w:r>
        <w:r>
          <w:fldChar w:fldCharType="end"/>
        </w:r>
      </w:p>
    </w:sdtContent>
  </w:sdt>
  <w:p w:rsidR="005945C1" w:rsidRDefault="00594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AE6" w:rsidRDefault="00A24AE6" w:rsidP="00AD19CC">
      <w:pPr>
        <w:spacing w:after="0" w:line="240" w:lineRule="auto"/>
      </w:pPr>
      <w:r>
        <w:separator/>
      </w:r>
    </w:p>
  </w:footnote>
  <w:footnote w:type="continuationSeparator" w:id="0">
    <w:p w:rsidR="00A24AE6" w:rsidRDefault="00A24AE6" w:rsidP="00AD19CC">
      <w:pPr>
        <w:spacing w:after="0" w:line="240" w:lineRule="auto"/>
      </w:pPr>
      <w:r>
        <w:continuationSeparator/>
      </w:r>
    </w:p>
  </w:footnote>
  <w:footnote w:id="1">
    <w:p w:rsidR="00464413" w:rsidRPr="00AE015C" w:rsidRDefault="00464413" w:rsidP="00AE015C">
      <w:pPr>
        <w:pStyle w:val="FootnoteText"/>
        <w:spacing w:beforeAutospacing="0" w:afterAutospacing="0" w:line="360" w:lineRule="auto"/>
        <w:jc w:val="both"/>
        <w:rPr>
          <w:lang w:val="en-US"/>
        </w:rPr>
      </w:pPr>
      <w:r>
        <w:rPr>
          <w:rStyle w:val="FootnoteReference"/>
        </w:rPr>
        <w:t>*</w:t>
      </w:r>
      <w:r>
        <w:t xml:space="preserve"> I would like to thank Dani</w:t>
      </w:r>
      <w:r>
        <w:rPr>
          <w:rFonts w:cs="Calibri"/>
        </w:rPr>
        <w:t>è</w:t>
      </w:r>
      <w:r>
        <w:t>le Moyal-Sharrock and Duncan Pritchard for helpful comments on the penultimate draft of the paper.</w:t>
      </w:r>
    </w:p>
  </w:footnote>
  <w:footnote w:id="2">
    <w:p w:rsidR="005945C1" w:rsidRPr="001050A2" w:rsidRDefault="005945C1" w:rsidP="00AE015C">
      <w:pPr>
        <w:pStyle w:val="FootnoteText"/>
        <w:spacing w:beforeAutospacing="0" w:afterAutospacing="0" w:line="360" w:lineRule="auto"/>
        <w:jc w:val="both"/>
        <w:rPr>
          <w:rFonts w:asciiTheme="minorHAnsi" w:hAnsiTheme="minorHAnsi"/>
          <w:lang w:val="en-US"/>
        </w:rPr>
      </w:pPr>
      <w:r w:rsidRPr="001050A2">
        <w:rPr>
          <w:rStyle w:val="FootnoteReference"/>
          <w:rFonts w:asciiTheme="minorHAnsi" w:hAnsiTheme="minorHAnsi"/>
        </w:rPr>
        <w:footnoteRef/>
      </w:r>
      <w:r w:rsidRPr="001050A2">
        <w:rPr>
          <w:rFonts w:asciiTheme="minorHAnsi" w:hAnsiTheme="minorHAnsi"/>
          <w:lang w:val="en-US"/>
        </w:rPr>
        <w:t xml:space="preserve"> </w:t>
      </w:r>
      <w:r w:rsidR="00542079">
        <w:rPr>
          <w:lang w:val="en-US"/>
        </w:rPr>
        <w:t>Prominent works in HE are Strawson (1985), Williams (1991), Wright (1985, 2004</w:t>
      </w:r>
      <w:r w:rsidR="00473410">
        <w:rPr>
          <w:lang w:val="en-US"/>
        </w:rPr>
        <w:t>, 2014</w:t>
      </w:r>
      <w:r w:rsidR="00542079">
        <w:rPr>
          <w:lang w:val="en-US"/>
        </w:rPr>
        <w:t xml:space="preserve">), </w:t>
      </w:r>
      <w:proofErr w:type="spellStart"/>
      <w:r w:rsidR="00542079">
        <w:rPr>
          <w:lang w:val="en-US"/>
        </w:rPr>
        <w:t>Moyal</w:t>
      </w:r>
      <w:proofErr w:type="spellEnd"/>
      <w:r w:rsidR="00542079">
        <w:rPr>
          <w:lang w:val="en-US"/>
        </w:rPr>
        <w:t xml:space="preserve">-Sharrock (2005), </w:t>
      </w:r>
      <w:proofErr w:type="spellStart"/>
      <w:r w:rsidR="00473410">
        <w:rPr>
          <w:lang w:val="en-US"/>
        </w:rPr>
        <w:t>Coliva</w:t>
      </w:r>
      <w:proofErr w:type="spellEnd"/>
      <w:r w:rsidR="00473410">
        <w:rPr>
          <w:lang w:val="en-US"/>
        </w:rPr>
        <w:t xml:space="preserve"> (2010, 2015), </w:t>
      </w:r>
      <w:r w:rsidR="00542079">
        <w:rPr>
          <w:lang w:val="en-US"/>
        </w:rPr>
        <w:t>Kusch (2016</w:t>
      </w:r>
      <w:proofErr w:type="gramStart"/>
      <w:r w:rsidR="00542079">
        <w:rPr>
          <w:lang w:val="en-US"/>
        </w:rPr>
        <w:t>a,</w:t>
      </w:r>
      <w:r w:rsidR="00473410">
        <w:rPr>
          <w:lang w:val="en-US"/>
        </w:rPr>
        <w:t>b</w:t>
      </w:r>
      <w:proofErr w:type="gramEnd"/>
      <w:r w:rsidR="00542079">
        <w:rPr>
          <w:lang w:val="en-US"/>
        </w:rPr>
        <w:t xml:space="preserve">), Pritchard </w:t>
      </w:r>
      <w:r w:rsidR="00473410">
        <w:rPr>
          <w:lang w:val="en-US"/>
        </w:rPr>
        <w:t>(2016),</w:t>
      </w:r>
      <w:r w:rsidR="00542079">
        <w:rPr>
          <w:lang w:val="en-US"/>
        </w:rPr>
        <w:t xml:space="preserve"> </w:t>
      </w:r>
      <w:proofErr w:type="spellStart"/>
      <w:r w:rsidR="00542079">
        <w:rPr>
          <w:lang w:val="en-US"/>
        </w:rPr>
        <w:t>Boncompagni</w:t>
      </w:r>
      <w:proofErr w:type="spellEnd"/>
      <w:r w:rsidR="00542079">
        <w:rPr>
          <w:lang w:val="en-US"/>
        </w:rPr>
        <w:t xml:space="preserve"> (2016), </w:t>
      </w:r>
      <w:proofErr w:type="spellStart"/>
      <w:r w:rsidR="00542079">
        <w:rPr>
          <w:lang w:val="en-US"/>
        </w:rPr>
        <w:t>Schönbaumsfeld</w:t>
      </w:r>
      <w:proofErr w:type="spellEnd"/>
      <w:r w:rsidR="00542079">
        <w:rPr>
          <w:lang w:val="en-US"/>
        </w:rPr>
        <w:t xml:space="preserve"> (2017).</w:t>
      </w:r>
      <w:r w:rsidR="00473410">
        <w:rPr>
          <w:lang w:val="en-US"/>
        </w:rPr>
        <w:t xml:space="preserve"> </w:t>
      </w:r>
      <w:r w:rsidR="00473410">
        <w:rPr>
          <w:rFonts w:asciiTheme="minorHAnsi" w:hAnsiTheme="minorHAnsi"/>
          <w:lang w:val="en-US"/>
        </w:rPr>
        <w:t>For the extension of HE to social epistemology, see</w:t>
      </w:r>
      <w:r w:rsidR="0009478A" w:rsidRPr="0009478A">
        <w:rPr>
          <w:rFonts w:asciiTheme="minorHAnsi" w:hAnsiTheme="minorHAnsi"/>
          <w:lang w:val="en-US"/>
        </w:rPr>
        <w:t xml:space="preserve"> </w:t>
      </w:r>
      <w:proofErr w:type="spellStart"/>
      <w:r w:rsidR="0009478A">
        <w:rPr>
          <w:rFonts w:asciiTheme="minorHAnsi" w:hAnsiTheme="minorHAnsi"/>
          <w:lang w:val="en-US"/>
        </w:rPr>
        <w:t>Boncompagni</w:t>
      </w:r>
      <w:proofErr w:type="spellEnd"/>
      <w:r w:rsidR="0009478A">
        <w:rPr>
          <w:rFonts w:asciiTheme="minorHAnsi" w:hAnsiTheme="minorHAnsi"/>
          <w:lang w:val="en-US"/>
        </w:rPr>
        <w:t xml:space="preserve"> (2019) and</w:t>
      </w:r>
      <w:r w:rsidR="00473410">
        <w:rPr>
          <w:rFonts w:asciiTheme="minorHAnsi" w:hAnsiTheme="minorHAnsi"/>
          <w:lang w:val="en-US"/>
        </w:rPr>
        <w:t xml:space="preserve"> </w:t>
      </w:r>
      <w:proofErr w:type="spellStart"/>
      <w:r w:rsidR="00473410">
        <w:rPr>
          <w:rFonts w:asciiTheme="minorHAnsi" w:hAnsiTheme="minorHAnsi"/>
          <w:lang w:val="en-US"/>
        </w:rPr>
        <w:t>Coliva</w:t>
      </w:r>
      <w:proofErr w:type="spellEnd"/>
      <w:r w:rsidR="00473410">
        <w:rPr>
          <w:rFonts w:asciiTheme="minorHAnsi" w:hAnsiTheme="minorHAnsi"/>
          <w:lang w:val="en-US"/>
        </w:rPr>
        <w:t xml:space="preserve"> (2019,</w:t>
      </w:r>
      <w:r w:rsidR="004C6263">
        <w:rPr>
          <w:rFonts w:asciiTheme="minorHAnsi" w:hAnsiTheme="minorHAnsi"/>
          <w:lang w:val="en-US"/>
        </w:rPr>
        <w:t xml:space="preserve"> 2020</w:t>
      </w:r>
      <w:r w:rsidR="00542079">
        <w:rPr>
          <w:rFonts w:asciiTheme="minorHAnsi" w:hAnsiTheme="minorHAnsi"/>
          <w:lang w:val="en-US"/>
        </w:rPr>
        <w:t>a</w:t>
      </w:r>
      <w:r w:rsidR="0009478A">
        <w:rPr>
          <w:rFonts w:asciiTheme="minorHAnsi" w:hAnsiTheme="minorHAnsi"/>
          <w:lang w:val="en-US"/>
        </w:rPr>
        <w:t>)</w:t>
      </w:r>
      <w:r w:rsidR="004C6263">
        <w:rPr>
          <w:rFonts w:asciiTheme="minorHAnsi" w:hAnsiTheme="minorHAnsi"/>
          <w:lang w:val="en-US"/>
        </w:rPr>
        <w:t>.</w:t>
      </w:r>
    </w:p>
  </w:footnote>
  <w:footnote w:id="3">
    <w:p w:rsidR="005945C1" w:rsidRPr="001050A2" w:rsidRDefault="005945C1" w:rsidP="00AE015C">
      <w:pPr>
        <w:pStyle w:val="FootnoteText"/>
        <w:spacing w:beforeAutospacing="0" w:afterAutospacing="0" w:line="360" w:lineRule="auto"/>
        <w:jc w:val="both"/>
        <w:rPr>
          <w:rFonts w:asciiTheme="minorHAnsi" w:hAnsiTheme="minorHAnsi"/>
          <w:lang w:val="en-US"/>
        </w:rPr>
      </w:pPr>
      <w:r w:rsidRPr="001050A2">
        <w:rPr>
          <w:rStyle w:val="FootnoteReference"/>
          <w:rFonts w:asciiTheme="minorHAnsi" w:hAnsiTheme="minorHAnsi"/>
        </w:rPr>
        <w:footnoteRef/>
      </w:r>
      <w:r w:rsidRPr="001050A2">
        <w:rPr>
          <w:rFonts w:asciiTheme="minorHAnsi" w:hAnsiTheme="minorHAnsi"/>
          <w:lang w:val="en-US"/>
        </w:rPr>
        <w:t xml:space="preserve"> See Wright 2004 and Williams 2004</w:t>
      </w:r>
      <w:proofErr w:type="gramStart"/>
      <w:r w:rsidR="004C6263">
        <w:rPr>
          <w:rFonts w:asciiTheme="minorHAnsi" w:hAnsiTheme="minorHAnsi"/>
          <w:lang w:val="en-US"/>
        </w:rPr>
        <w:t>a,b</w:t>
      </w:r>
      <w:proofErr w:type="gramEnd"/>
      <w:r w:rsidRPr="001050A2">
        <w:rPr>
          <w:rFonts w:asciiTheme="minorHAnsi" w:hAnsiTheme="minorHAnsi"/>
          <w:lang w:val="en-US"/>
        </w:rPr>
        <w:t xml:space="preserve">, I have discussed </w:t>
      </w:r>
      <w:r w:rsidR="004C6263">
        <w:rPr>
          <w:rFonts w:asciiTheme="minorHAnsi" w:hAnsiTheme="minorHAnsi"/>
          <w:lang w:val="en-US"/>
        </w:rPr>
        <w:t xml:space="preserve">both of them </w:t>
      </w:r>
      <w:r w:rsidRPr="001050A2">
        <w:rPr>
          <w:rFonts w:asciiTheme="minorHAnsi" w:hAnsiTheme="minorHAnsi"/>
          <w:lang w:val="en-US"/>
        </w:rPr>
        <w:t>in Coliva 2016.</w:t>
      </w:r>
    </w:p>
  </w:footnote>
  <w:footnote w:id="4">
    <w:p w:rsidR="005945C1" w:rsidRPr="001050A2" w:rsidRDefault="005945C1" w:rsidP="00AE015C">
      <w:pPr>
        <w:autoSpaceDE w:val="0"/>
        <w:autoSpaceDN w:val="0"/>
        <w:adjustRightInd w:val="0"/>
        <w:spacing w:after="0" w:line="360" w:lineRule="auto"/>
        <w:jc w:val="both"/>
        <w:rPr>
          <w:rFonts w:cs="AdvTT3713a231"/>
          <w:color w:val="131413"/>
          <w:sz w:val="20"/>
          <w:szCs w:val="20"/>
        </w:rPr>
      </w:pPr>
      <w:r w:rsidRPr="001050A2">
        <w:rPr>
          <w:rStyle w:val="FootnoteReference"/>
          <w:sz w:val="20"/>
          <w:szCs w:val="20"/>
        </w:rPr>
        <w:footnoteRef/>
      </w:r>
      <w:r w:rsidRPr="001050A2">
        <w:rPr>
          <w:sz w:val="20"/>
          <w:szCs w:val="20"/>
        </w:rPr>
        <w:t xml:space="preserve"> </w:t>
      </w:r>
      <w:r w:rsidRPr="001050A2">
        <w:rPr>
          <w:rFonts w:cs="AdvTT3713a231"/>
          <w:color w:val="131413"/>
          <w:sz w:val="20"/>
          <w:szCs w:val="20"/>
        </w:rPr>
        <w:t xml:space="preserve">The fact that they fail at bipolarity is compatible with the possibility that hinges could be used as paradigms of truth, in context, contrary to what </w:t>
      </w:r>
      <w:proofErr w:type="spellStart"/>
      <w:r w:rsidRPr="001050A2">
        <w:rPr>
          <w:rFonts w:cs="AdvTT3713a231"/>
          <w:color w:val="131413"/>
          <w:sz w:val="20"/>
          <w:szCs w:val="20"/>
        </w:rPr>
        <w:t>Moyal</w:t>
      </w:r>
      <w:proofErr w:type="spellEnd"/>
      <w:r w:rsidRPr="001050A2">
        <w:rPr>
          <w:rFonts w:cs="AdvTT3713a231"/>
          <w:color w:val="131413"/>
          <w:sz w:val="20"/>
          <w:szCs w:val="20"/>
        </w:rPr>
        <w:t xml:space="preserve">-Sharrock maintains. For that would preclude their being false, and hence would make them fail at bipolarity. It would also be compatible with their truth being neither </w:t>
      </w:r>
      <w:proofErr w:type="spellStart"/>
      <w:r w:rsidRPr="001050A2">
        <w:rPr>
          <w:rFonts w:cs="AdvTT3713a231"/>
          <w:color w:val="131413"/>
          <w:sz w:val="20"/>
          <w:szCs w:val="20"/>
        </w:rPr>
        <w:t>correspondentist</w:t>
      </w:r>
      <w:proofErr w:type="spellEnd"/>
      <w:r w:rsidRPr="001050A2">
        <w:rPr>
          <w:rFonts w:cs="AdvTT3713a231"/>
          <w:color w:val="131413"/>
          <w:sz w:val="20"/>
          <w:szCs w:val="20"/>
        </w:rPr>
        <w:t xml:space="preserve"> nor epistemic in fashion, but only minimal (cf. Williams </w:t>
      </w:r>
      <w:r w:rsidRPr="001050A2">
        <w:rPr>
          <w:rFonts w:cs="AdvTT3713a231"/>
          <w:color w:val="3A2A98"/>
          <w:sz w:val="20"/>
          <w:szCs w:val="20"/>
        </w:rPr>
        <w:t>2004b</w:t>
      </w:r>
      <w:r w:rsidRPr="001050A2">
        <w:rPr>
          <w:rFonts w:cs="AdvTT3713a231"/>
          <w:color w:val="131413"/>
          <w:sz w:val="20"/>
          <w:szCs w:val="20"/>
        </w:rPr>
        <w:t>). This is an extremely subtle issue, one for which OC doesn</w:t>
      </w:r>
      <w:r w:rsidRPr="001050A2">
        <w:rPr>
          <w:rFonts w:cs="AdvTT3713a231+20"/>
          <w:color w:val="131413"/>
          <w:sz w:val="20"/>
          <w:szCs w:val="20"/>
        </w:rPr>
        <w:t>’</w:t>
      </w:r>
      <w:r w:rsidRPr="001050A2">
        <w:rPr>
          <w:rFonts w:cs="AdvTT3713a231"/>
          <w:color w:val="131413"/>
          <w:sz w:val="20"/>
          <w:szCs w:val="20"/>
        </w:rPr>
        <w:t xml:space="preserve">t provide a clear-cut view. </w:t>
      </w:r>
    </w:p>
  </w:footnote>
  <w:footnote w:id="5">
    <w:p w:rsidR="005945C1" w:rsidRPr="001050A2" w:rsidRDefault="005945C1" w:rsidP="00AE015C">
      <w:pPr>
        <w:pStyle w:val="FootnoteText"/>
        <w:spacing w:beforeAutospacing="0" w:afterAutospacing="0" w:line="360" w:lineRule="auto"/>
        <w:jc w:val="both"/>
        <w:rPr>
          <w:rFonts w:asciiTheme="minorHAnsi" w:hAnsiTheme="minorHAnsi"/>
          <w:lang w:val="en-US"/>
        </w:rPr>
      </w:pPr>
      <w:r w:rsidRPr="001050A2">
        <w:rPr>
          <w:rStyle w:val="FootnoteReference"/>
          <w:rFonts w:asciiTheme="minorHAnsi" w:hAnsiTheme="minorHAnsi"/>
        </w:rPr>
        <w:footnoteRef/>
      </w:r>
      <w:r>
        <w:rPr>
          <w:rFonts w:asciiTheme="minorHAnsi" w:hAnsiTheme="minorHAnsi"/>
          <w:lang w:val="en-US"/>
        </w:rPr>
        <w:t xml:space="preserve"> P</w:t>
      </w:r>
      <w:r w:rsidRPr="001050A2">
        <w:rPr>
          <w:rFonts w:asciiTheme="minorHAnsi" w:hAnsiTheme="minorHAnsi"/>
          <w:lang w:val="en-US"/>
        </w:rPr>
        <w:t>arts of this section draw on Coliva 2013.</w:t>
      </w:r>
    </w:p>
  </w:footnote>
  <w:footnote w:id="6">
    <w:p w:rsidR="005945C1" w:rsidRPr="001050A2" w:rsidRDefault="005945C1" w:rsidP="00AE015C">
      <w:pPr>
        <w:autoSpaceDE w:val="0"/>
        <w:autoSpaceDN w:val="0"/>
        <w:adjustRightInd w:val="0"/>
        <w:spacing w:after="0" w:line="360" w:lineRule="auto"/>
        <w:jc w:val="both"/>
        <w:rPr>
          <w:rFonts w:cs="AdvTT3713a231"/>
          <w:color w:val="131413"/>
          <w:sz w:val="20"/>
          <w:szCs w:val="20"/>
        </w:rPr>
      </w:pPr>
      <w:r w:rsidRPr="001050A2">
        <w:rPr>
          <w:rStyle w:val="FootnoteReference"/>
          <w:sz w:val="20"/>
          <w:szCs w:val="20"/>
        </w:rPr>
        <w:footnoteRef/>
      </w:r>
      <w:r w:rsidRPr="001050A2">
        <w:rPr>
          <w:sz w:val="20"/>
          <w:szCs w:val="20"/>
        </w:rPr>
        <w:t xml:space="preserve"> </w:t>
      </w:r>
      <w:r w:rsidRPr="001050A2">
        <w:rPr>
          <w:rFonts w:cs="AdvTT3713a231"/>
          <w:color w:val="131413"/>
          <w:sz w:val="20"/>
          <w:szCs w:val="20"/>
        </w:rPr>
        <w:t xml:space="preserve">In </w:t>
      </w:r>
      <w:r w:rsidRPr="001050A2">
        <w:rPr>
          <w:rFonts w:cs="AdvTT50a2f13e.I"/>
          <w:i/>
          <w:color w:val="131413"/>
          <w:sz w:val="20"/>
          <w:szCs w:val="20"/>
        </w:rPr>
        <w:t>The Remarks on the Foundations of Mathematics</w:t>
      </w:r>
      <w:r w:rsidRPr="001050A2">
        <w:rPr>
          <w:rFonts w:cs="AdvTT50a2f13e.I"/>
          <w:color w:val="131413"/>
          <w:sz w:val="20"/>
          <w:szCs w:val="20"/>
        </w:rPr>
        <w:t xml:space="preserve"> </w:t>
      </w:r>
      <w:r w:rsidRPr="001050A2">
        <w:rPr>
          <w:rFonts w:cs="AdvTT3713a231"/>
          <w:color w:val="131413"/>
          <w:sz w:val="20"/>
          <w:szCs w:val="20"/>
        </w:rPr>
        <w:t xml:space="preserve">(Wittgenstein </w:t>
      </w:r>
      <w:r w:rsidRPr="001050A2">
        <w:rPr>
          <w:rFonts w:cs="AdvTT3713a231"/>
          <w:color w:val="3A2A98"/>
          <w:sz w:val="20"/>
          <w:szCs w:val="20"/>
        </w:rPr>
        <w:t>1967</w:t>
      </w:r>
      <w:r w:rsidRPr="001050A2">
        <w:rPr>
          <w:rFonts w:cs="AdvTT3713a231"/>
          <w:color w:val="131413"/>
          <w:sz w:val="20"/>
          <w:szCs w:val="20"/>
        </w:rPr>
        <w:t xml:space="preserve">), Wittgenstein suggests that since </w:t>
      </w:r>
      <w:r w:rsidRPr="001050A2">
        <w:rPr>
          <w:rFonts w:cs="AdvTT3713a231+20"/>
          <w:color w:val="131413"/>
          <w:sz w:val="20"/>
          <w:szCs w:val="20"/>
        </w:rPr>
        <w:t>“</w:t>
      </w:r>
      <w:r w:rsidRPr="001050A2">
        <w:rPr>
          <w:rFonts w:cs="AdvTT3713a231"/>
          <w:color w:val="131413"/>
          <w:sz w:val="20"/>
          <w:szCs w:val="20"/>
        </w:rPr>
        <w:t xml:space="preserve">propositions of logic are so constructed as to have no application as </w:t>
      </w:r>
      <w:r w:rsidRPr="001050A2">
        <w:rPr>
          <w:rFonts w:cs="AdvTT50a2f13e.I"/>
          <w:color w:val="131413"/>
          <w:sz w:val="20"/>
          <w:szCs w:val="20"/>
        </w:rPr>
        <w:t xml:space="preserve">information </w:t>
      </w:r>
      <w:r w:rsidRPr="001050A2">
        <w:rPr>
          <w:rFonts w:cs="AdvTT3713a231"/>
          <w:color w:val="131413"/>
          <w:sz w:val="20"/>
          <w:szCs w:val="20"/>
        </w:rPr>
        <w:t>in practice (</w:t>
      </w:r>
      <w:r w:rsidRPr="001050A2">
        <w:rPr>
          <w:rFonts w:cs="AdvTT3713a231+20"/>
          <w:color w:val="131413"/>
          <w:sz w:val="20"/>
          <w:szCs w:val="20"/>
        </w:rPr>
        <w:t>…</w:t>
      </w:r>
      <w:r w:rsidRPr="001050A2">
        <w:rPr>
          <w:rFonts w:cs="AdvTT3713a231"/>
          <w:color w:val="131413"/>
          <w:sz w:val="20"/>
          <w:szCs w:val="20"/>
        </w:rPr>
        <w:t>), it could very well be said that they were not propositions at all</w:t>
      </w:r>
      <w:r w:rsidRPr="001050A2">
        <w:rPr>
          <w:rFonts w:cs="AdvTT3713a231+20"/>
          <w:color w:val="131413"/>
          <w:sz w:val="20"/>
          <w:szCs w:val="20"/>
        </w:rPr>
        <w:t>”</w:t>
      </w:r>
      <w:r w:rsidRPr="001050A2">
        <w:rPr>
          <w:rFonts w:cs="AdvTT3713a231"/>
          <w:color w:val="131413"/>
          <w:sz w:val="20"/>
          <w:szCs w:val="20"/>
        </w:rPr>
        <w:t xml:space="preserve">. Yet, the </w:t>
      </w:r>
      <w:r w:rsidRPr="001050A2">
        <w:rPr>
          <w:rFonts w:cs="AdvTT50a2f13e.I"/>
          <w:i/>
          <w:color w:val="131413"/>
          <w:sz w:val="20"/>
          <w:szCs w:val="20"/>
        </w:rPr>
        <w:t>Remarks</w:t>
      </w:r>
      <w:r w:rsidRPr="001050A2">
        <w:rPr>
          <w:rFonts w:cs="AdvTT50a2f13e.I"/>
          <w:color w:val="131413"/>
          <w:sz w:val="20"/>
          <w:szCs w:val="20"/>
        </w:rPr>
        <w:t xml:space="preserve"> </w:t>
      </w:r>
      <w:r w:rsidRPr="001050A2">
        <w:rPr>
          <w:rFonts w:cs="AdvTT3713a231"/>
          <w:color w:val="131413"/>
          <w:sz w:val="20"/>
          <w:szCs w:val="20"/>
        </w:rPr>
        <w:t>are a much earlier text and there is no reason to suppose that OC should comply with everything in it (cf. OC 320). Moreover, Wittgenstein is here talking about propositions of logic, such as, I assume, tautologies, and not of hinges. While in OC their role is likened in some respects, this doesn</w:t>
      </w:r>
      <w:r w:rsidRPr="001050A2">
        <w:rPr>
          <w:rFonts w:cs="AdvTT3713a231+20"/>
          <w:color w:val="131413"/>
          <w:sz w:val="20"/>
          <w:szCs w:val="20"/>
        </w:rPr>
        <w:t>’</w:t>
      </w:r>
      <w:r w:rsidRPr="001050A2">
        <w:rPr>
          <w:rFonts w:cs="AdvTT3713a231"/>
          <w:color w:val="131413"/>
          <w:sz w:val="20"/>
          <w:szCs w:val="20"/>
        </w:rPr>
        <w:t>t imply that they are exactly on a par and</w:t>
      </w:r>
      <w:proofErr w:type="gramStart"/>
      <w:r w:rsidRPr="001050A2">
        <w:rPr>
          <w:rFonts w:cs="AdvTT3713a231"/>
          <w:color w:val="131413"/>
          <w:sz w:val="20"/>
          <w:szCs w:val="20"/>
        </w:rPr>
        <w:t>, in particular, it</w:t>
      </w:r>
      <w:proofErr w:type="gramEnd"/>
      <w:r w:rsidRPr="001050A2">
        <w:rPr>
          <w:rFonts w:cs="AdvTT3713a231"/>
          <w:color w:val="131413"/>
          <w:sz w:val="20"/>
          <w:szCs w:val="20"/>
        </w:rPr>
        <w:t xml:space="preserve"> doesn</w:t>
      </w:r>
      <w:r w:rsidRPr="001050A2">
        <w:rPr>
          <w:rFonts w:cs="AdvTT3713a231+20"/>
          <w:color w:val="131413"/>
          <w:sz w:val="20"/>
          <w:szCs w:val="20"/>
        </w:rPr>
        <w:t>’</w:t>
      </w:r>
      <w:r w:rsidRPr="001050A2">
        <w:rPr>
          <w:rFonts w:cs="AdvTT3713a231"/>
          <w:color w:val="131413"/>
          <w:sz w:val="20"/>
          <w:szCs w:val="20"/>
        </w:rPr>
        <w:t>t entail that hinges should be devoid of any informational content whatsoever.</w:t>
      </w:r>
    </w:p>
  </w:footnote>
  <w:footnote w:id="7">
    <w:p w:rsidR="005945C1" w:rsidRPr="001050A2" w:rsidRDefault="005945C1" w:rsidP="00AE015C">
      <w:pPr>
        <w:autoSpaceDE w:val="0"/>
        <w:autoSpaceDN w:val="0"/>
        <w:adjustRightInd w:val="0"/>
        <w:spacing w:after="0" w:line="360" w:lineRule="auto"/>
        <w:jc w:val="both"/>
        <w:rPr>
          <w:rFonts w:cs="AdvTT3713a231"/>
          <w:color w:val="131413"/>
          <w:sz w:val="20"/>
          <w:szCs w:val="20"/>
        </w:rPr>
      </w:pPr>
      <w:r w:rsidRPr="001050A2">
        <w:rPr>
          <w:rStyle w:val="FootnoteReference"/>
          <w:sz w:val="20"/>
          <w:szCs w:val="20"/>
        </w:rPr>
        <w:footnoteRef/>
      </w:r>
      <w:r w:rsidRPr="001050A2">
        <w:rPr>
          <w:sz w:val="20"/>
          <w:szCs w:val="20"/>
        </w:rPr>
        <w:t xml:space="preserve"> </w:t>
      </w:r>
      <w:r w:rsidRPr="001050A2">
        <w:rPr>
          <w:rFonts w:cs="AdvTT3713a231"/>
          <w:color w:val="131413"/>
          <w:sz w:val="20"/>
          <w:szCs w:val="20"/>
        </w:rPr>
        <w:t xml:space="preserve">Notice, furthermore, that if </w:t>
      </w:r>
      <w:r w:rsidRPr="001050A2">
        <w:rPr>
          <w:rFonts w:cs="AdvTT3713a231+20"/>
          <w:color w:val="131413"/>
          <w:sz w:val="20"/>
          <w:szCs w:val="20"/>
        </w:rPr>
        <w:t>‘</w:t>
      </w:r>
      <w:proofErr w:type="spellStart"/>
      <w:r w:rsidRPr="001050A2">
        <w:rPr>
          <w:rFonts w:cs="AdvTT50a2f13e.I"/>
          <w:color w:val="131413"/>
          <w:sz w:val="20"/>
          <w:szCs w:val="20"/>
        </w:rPr>
        <w:t>Satz</w:t>
      </w:r>
      <w:proofErr w:type="spellEnd"/>
      <w:r w:rsidRPr="001050A2">
        <w:rPr>
          <w:rFonts w:cs="AdvTT3713a231+20"/>
          <w:color w:val="131413"/>
          <w:sz w:val="20"/>
          <w:szCs w:val="20"/>
        </w:rPr>
        <w:t xml:space="preserve">’ </w:t>
      </w:r>
      <w:r w:rsidRPr="001050A2">
        <w:rPr>
          <w:rFonts w:cs="AdvTT3713a231"/>
          <w:color w:val="131413"/>
          <w:sz w:val="20"/>
          <w:szCs w:val="20"/>
        </w:rPr>
        <w:t xml:space="preserve">were translated with </w:t>
      </w:r>
      <w:r w:rsidRPr="001050A2">
        <w:rPr>
          <w:rFonts w:cs="AdvTT3713a231+20"/>
          <w:color w:val="131413"/>
          <w:sz w:val="20"/>
          <w:szCs w:val="20"/>
        </w:rPr>
        <w:t>‘</w:t>
      </w:r>
      <w:r w:rsidRPr="001050A2">
        <w:rPr>
          <w:rFonts w:cs="AdvTT3713a231"/>
          <w:color w:val="131413"/>
          <w:sz w:val="20"/>
          <w:szCs w:val="20"/>
        </w:rPr>
        <w:t>sentence</w:t>
      </w:r>
      <w:r w:rsidRPr="001050A2">
        <w:rPr>
          <w:rFonts w:cs="AdvTT3713a231+20"/>
          <w:color w:val="131413"/>
          <w:sz w:val="20"/>
          <w:szCs w:val="20"/>
        </w:rPr>
        <w:t>’</w:t>
      </w:r>
      <w:r w:rsidRPr="001050A2">
        <w:rPr>
          <w:rFonts w:cs="AdvTT3713a231"/>
          <w:color w:val="131413"/>
          <w:sz w:val="20"/>
          <w:szCs w:val="20"/>
        </w:rPr>
        <w:t>, the passages around OC</w:t>
      </w:r>
      <w:r w:rsidR="00FD56D0">
        <w:rPr>
          <w:rFonts w:cs="AdvTT3713a231"/>
          <w:color w:val="131413"/>
          <w:sz w:val="20"/>
          <w:szCs w:val="20"/>
        </w:rPr>
        <w:t xml:space="preserve"> 318-20 would hardly make sense</w:t>
      </w:r>
      <w:r w:rsidRPr="001050A2">
        <w:rPr>
          <w:rFonts w:cs="AdvTT3713a231"/>
          <w:color w:val="131413"/>
          <w:sz w:val="20"/>
          <w:szCs w:val="20"/>
        </w:rPr>
        <w:t>.</w:t>
      </w:r>
    </w:p>
  </w:footnote>
  <w:footnote w:id="8">
    <w:p w:rsidR="005945C1" w:rsidRPr="001050A2" w:rsidRDefault="005945C1" w:rsidP="00AE015C">
      <w:pPr>
        <w:autoSpaceDE w:val="0"/>
        <w:autoSpaceDN w:val="0"/>
        <w:adjustRightInd w:val="0"/>
        <w:spacing w:after="0" w:line="360" w:lineRule="auto"/>
        <w:jc w:val="both"/>
        <w:rPr>
          <w:rFonts w:cs="AdvTT3713a231"/>
          <w:color w:val="131413"/>
          <w:sz w:val="20"/>
          <w:szCs w:val="20"/>
        </w:rPr>
      </w:pPr>
      <w:r w:rsidRPr="001050A2">
        <w:rPr>
          <w:rStyle w:val="FootnoteReference"/>
          <w:sz w:val="20"/>
          <w:szCs w:val="20"/>
        </w:rPr>
        <w:footnoteRef/>
      </w:r>
      <w:r w:rsidRPr="001050A2">
        <w:rPr>
          <w:sz w:val="20"/>
          <w:szCs w:val="20"/>
        </w:rPr>
        <w:t xml:space="preserve"> Notice that </w:t>
      </w:r>
      <w:proofErr w:type="spellStart"/>
      <w:r w:rsidRPr="001050A2">
        <w:rPr>
          <w:rFonts w:cs="AdvTT3713a231"/>
          <w:color w:val="131413"/>
          <w:sz w:val="20"/>
          <w:szCs w:val="20"/>
        </w:rPr>
        <w:t>Moyal</w:t>
      </w:r>
      <w:proofErr w:type="spellEnd"/>
      <w:r w:rsidRPr="001050A2">
        <w:rPr>
          <w:rFonts w:cs="AdvTT3713a231"/>
          <w:color w:val="131413"/>
          <w:sz w:val="20"/>
          <w:szCs w:val="20"/>
        </w:rPr>
        <w:t xml:space="preserve">-Sharrock allows also for </w:t>
      </w:r>
      <w:r w:rsidRPr="001050A2">
        <w:rPr>
          <w:rFonts w:cs="AdvTT3713a231+20"/>
          <w:color w:val="131413"/>
          <w:sz w:val="20"/>
          <w:szCs w:val="20"/>
        </w:rPr>
        <w:t>“</w:t>
      </w:r>
      <w:r w:rsidRPr="001050A2">
        <w:rPr>
          <w:rFonts w:cs="AdvTT3713a231"/>
          <w:color w:val="131413"/>
          <w:sz w:val="20"/>
          <w:szCs w:val="20"/>
        </w:rPr>
        <w:t>avowals</w:t>
      </w:r>
      <w:r w:rsidRPr="001050A2">
        <w:rPr>
          <w:rFonts w:cs="AdvTT3713a231+20"/>
          <w:color w:val="131413"/>
          <w:sz w:val="20"/>
          <w:szCs w:val="20"/>
        </w:rPr>
        <w:t xml:space="preserve">” </w:t>
      </w:r>
      <w:r w:rsidRPr="001050A2">
        <w:rPr>
          <w:rFonts w:cs="AdvTT3713a231"/>
          <w:color w:val="131413"/>
          <w:sz w:val="20"/>
          <w:szCs w:val="20"/>
        </w:rPr>
        <w:t xml:space="preserve">to be </w:t>
      </w:r>
      <w:proofErr w:type="spellStart"/>
      <w:r w:rsidRPr="001050A2">
        <w:rPr>
          <w:rFonts w:cs="AdvTT3713a231"/>
          <w:color w:val="131413"/>
          <w:sz w:val="20"/>
          <w:szCs w:val="20"/>
        </w:rPr>
        <w:t>sayable</w:t>
      </w:r>
      <w:proofErr w:type="spellEnd"/>
      <w:r w:rsidRPr="001050A2">
        <w:rPr>
          <w:rFonts w:cs="AdvTT3713a231"/>
          <w:color w:val="131413"/>
          <w:sz w:val="20"/>
          <w:szCs w:val="20"/>
        </w:rPr>
        <w:t xml:space="preserve"> (cf. her </w:t>
      </w:r>
      <w:r w:rsidRPr="001050A2">
        <w:rPr>
          <w:rFonts w:cs="AdvTT3713a231"/>
          <w:color w:val="3A2A98"/>
          <w:sz w:val="20"/>
          <w:szCs w:val="20"/>
        </w:rPr>
        <w:t>2005</w:t>
      </w:r>
      <w:r w:rsidRPr="001050A2">
        <w:rPr>
          <w:rFonts w:cs="AdvTT3713a231"/>
          <w:color w:val="131413"/>
          <w:sz w:val="20"/>
          <w:szCs w:val="20"/>
        </w:rPr>
        <w:t>, p. 45 and fn. 23), while they are neither bipolar or descriptions.</w:t>
      </w:r>
    </w:p>
  </w:footnote>
  <w:footnote w:id="9">
    <w:p w:rsidR="005945C1" w:rsidRPr="006D3ADB" w:rsidRDefault="005945C1" w:rsidP="00AE015C">
      <w:pPr>
        <w:autoSpaceDE w:val="0"/>
        <w:autoSpaceDN w:val="0"/>
        <w:adjustRightInd w:val="0"/>
        <w:spacing w:after="0" w:line="360" w:lineRule="auto"/>
        <w:jc w:val="both"/>
        <w:rPr>
          <w:rFonts w:cs="AdvTT3713a231"/>
          <w:color w:val="131413"/>
          <w:sz w:val="20"/>
          <w:szCs w:val="20"/>
        </w:rPr>
      </w:pPr>
      <w:r w:rsidRPr="001050A2">
        <w:rPr>
          <w:rStyle w:val="FootnoteReference"/>
          <w:sz w:val="20"/>
          <w:szCs w:val="20"/>
        </w:rPr>
        <w:footnoteRef/>
      </w:r>
      <w:r w:rsidRPr="001050A2">
        <w:rPr>
          <w:sz w:val="20"/>
          <w:szCs w:val="20"/>
        </w:rPr>
        <w:t xml:space="preserve"> </w:t>
      </w:r>
      <w:r w:rsidRPr="001050A2">
        <w:rPr>
          <w:rFonts w:cs="AdvTT3713a231"/>
          <w:color w:val="131413"/>
          <w:sz w:val="20"/>
          <w:szCs w:val="20"/>
        </w:rPr>
        <w:t>As is well-known, the title was given by the editors.</w:t>
      </w:r>
    </w:p>
  </w:footnote>
  <w:footnote w:id="10">
    <w:p w:rsidR="005945C1" w:rsidRPr="006015AC" w:rsidRDefault="005945C1" w:rsidP="00AE015C">
      <w:pPr>
        <w:pStyle w:val="FootnoteText"/>
        <w:spacing w:beforeAutospacing="0" w:afterAutospacing="0" w:line="360" w:lineRule="auto"/>
        <w:jc w:val="both"/>
        <w:rPr>
          <w:lang w:val="en-US"/>
        </w:rPr>
      </w:pPr>
      <w:r>
        <w:rPr>
          <w:rStyle w:val="FootnoteReference"/>
        </w:rPr>
        <w:footnoteRef/>
      </w:r>
      <w:r w:rsidRPr="006015AC">
        <w:rPr>
          <w:lang w:val="en-US"/>
        </w:rPr>
        <w:t xml:space="preserve"> </w:t>
      </w:r>
      <w:r>
        <w:rPr>
          <w:lang w:val="en-US"/>
        </w:rPr>
        <w:t xml:space="preserve">Here is an instance of such a Closure-based argument: If one knows that “Here is my hand” entails that “I am not a BIV”, and one doesn’t know “I am not to be a BIV”, </w:t>
      </w:r>
      <w:r w:rsidR="004523C0">
        <w:rPr>
          <w:lang w:val="en-US"/>
        </w:rPr>
        <w:t xml:space="preserve">then </w:t>
      </w:r>
      <w:r>
        <w:rPr>
          <w:lang w:val="en-US"/>
        </w:rPr>
        <w:t xml:space="preserve">one doesn’t know “Here is my hand”. </w:t>
      </w:r>
    </w:p>
  </w:footnote>
  <w:footnote w:id="11">
    <w:p w:rsidR="005945C1" w:rsidRPr="009A0DBB" w:rsidRDefault="005945C1" w:rsidP="00AE015C">
      <w:pPr>
        <w:pStyle w:val="FootnoteText"/>
        <w:spacing w:beforeAutospacing="0" w:afterAutospacing="0" w:line="360" w:lineRule="auto"/>
        <w:jc w:val="both"/>
        <w:rPr>
          <w:lang w:val="en-US"/>
        </w:rPr>
      </w:pPr>
      <w:r>
        <w:rPr>
          <w:rStyle w:val="FootnoteReference"/>
        </w:rPr>
        <w:footnoteRef/>
      </w:r>
      <w:r w:rsidRPr="009A0DBB">
        <w:rPr>
          <w:lang w:val="en-US"/>
        </w:rPr>
        <w:t xml:space="preserve"> </w:t>
      </w:r>
      <w:r>
        <w:rPr>
          <w:lang w:val="en-US"/>
        </w:rPr>
        <w:t xml:space="preserve">In Coliva 2018, I have looked at Pritchard’s proposal from a slightly more historical angle and have argued that Wittgenstein too seems to conceive of perceptual justification as taking place within a system of hinges, while not requiring perception to provide us with </w:t>
      </w:r>
      <w:proofErr w:type="spellStart"/>
      <w:r>
        <w:rPr>
          <w:lang w:val="en-US"/>
        </w:rPr>
        <w:t>factive</w:t>
      </w:r>
      <w:proofErr w:type="spellEnd"/>
      <w:r>
        <w:rPr>
          <w:lang w:val="en-US"/>
        </w:rPr>
        <w:t xml:space="preserve"> reasons. In the following, I will consider whether his views are compatible, if not already committed to </w:t>
      </w:r>
      <w:proofErr w:type="spellStart"/>
      <w:r>
        <w:rPr>
          <w:lang w:val="en-US"/>
        </w:rPr>
        <w:t>disjunctivism</w:t>
      </w:r>
      <w:proofErr w:type="spellEnd"/>
      <w:r>
        <w:rPr>
          <w:lang w:val="en-US"/>
        </w:rPr>
        <w:t>—a view that is gaining currency in recent interpretations of OC</w:t>
      </w:r>
      <w:r w:rsidR="001123D3">
        <w:rPr>
          <w:lang w:val="en-US"/>
        </w:rPr>
        <w:t xml:space="preserve">, such as Pritchard’s and </w:t>
      </w:r>
      <w:proofErr w:type="spellStart"/>
      <w:r w:rsidR="001123D3">
        <w:rPr>
          <w:lang w:val="en-US"/>
        </w:rPr>
        <w:t>Sch</w:t>
      </w:r>
      <w:r w:rsidR="001123D3">
        <w:rPr>
          <w:rFonts w:cs="Calibri"/>
          <w:lang w:val="en-US"/>
        </w:rPr>
        <w:t>ö</w:t>
      </w:r>
      <w:r w:rsidR="001123D3">
        <w:rPr>
          <w:lang w:val="en-US"/>
        </w:rPr>
        <w:t>nbaumsfeld</w:t>
      </w:r>
      <w:proofErr w:type="spellEnd"/>
      <w:r w:rsidR="001123D3">
        <w:rPr>
          <w:lang w:val="en-US"/>
        </w:rPr>
        <w:t xml:space="preserve"> 2017</w:t>
      </w:r>
      <w:r>
        <w:rPr>
          <w:lang w:val="en-US"/>
        </w:rPr>
        <w:t>.</w:t>
      </w:r>
    </w:p>
  </w:footnote>
  <w:footnote w:id="12">
    <w:p w:rsidR="005945C1" w:rsidRPr="009A0DBB" w:rsidRDefault="005945C1" w:rsidP="00AE015C">
      <w:pPr>
        <w:pStyle w:val="FootnoteText"/>
        <w:spacing w:beforeAutospacing="0" w:afterAutospacing="0" w:line="360" w:lineRule="auto"/>
        <w:jc w:val="both"/>
        <w:rPr>
          <w:lang w:val="en-US"/>
        </w:rPr>
      </w:pPr>
      <w:r>
        <w:rPr>
          <w:rStyle w:val="FootnoteReference"/>
        </w:rPr>
        <w:footnoteRef/>
      </w:r>
      <w:r w:rsidRPr="009A0DBB">
        <w:rPr>
          <w:lang w:val="en-US"/>
        </w:rPr>
        <w:t xml:space="preserve"> </w:t>
      </w:r>
      <w:r>
        <w:rPr>
          <w:lang w:val="en-US"/>
        </w:rPr>
        <w:t>See Coliva 2015.</w:t>
      </w:r>
    </w:p>
  </w:footnote>
  <w:footnote w:id="13">
    <w:p w:rsidR="005945C1" w:rsidRPr="00F47E6A" w:rsidRDefault="005945C1" w:rsidP="00AE015C">
      <w:pPr>
        <w:pStyle w:val="FootnoteText"/>
        <w:spacing w:beforeAutospacing="0" w:afterAutospacing="0" w:line="360" w:lineRule="auto"/>
        <w:jc w:val="both"/>
        <w:rPr>
          <w:lang w:val="en-US"/>
        </w:rPr>
      </w:pPr>
      <w:r>
        <w:rPr>
          <w:rStyle w:val="FootnoteReference"/>
        </w:rPr>
        <w:footnoteRef/>
      </w:r>
      <w:r w:rsidRPr="00F47E6A">
        <w:rPr>
          <w:lang w:val="en-US"/>
        </w:rPr>
        <w:t xml:space="preserve"> </w:t>
      </w:r>
      <w:r>
        <w:rPr>
          <w:lang w:val="en-US"/>
        </w:rPr>
        <w:t>This is why the liberal account of perceptual justification, due to Jim Pryor (2004)</w:t>
      </w:r>
      <w:r w:rsidR="00343DEC">
        <w:rPr>
          <w:lang w:val="en-US"/>
        </w:rPr>
        <w:t>,</w:t>
      </w:r>
      <w:r>
        <w:rPr>
          <w:lang w:val="en-US"/>
        </w:rPr>
        <w:t xml:space="preserve"> is problematic</w:t>
      </w:r>
      <w:r w:rsidR="00343DEC">
        <w:rPr>
          <w:lang w:val="en-US"/>
        </w:rPr>
        <w:t>, in my view</w:t>
      </w:r>
      <w:r>
        <w:rPr>
          <w:lang w:val="en-US"/>
        </w:rPr>
        <w:t>. The moderate account is a better alternative than Wright’s (2004) conservative proposal too, since his account requires hinge assumptions to be independently justified either a priori or through entitlements. Neither option looks promising to me. For a discussion, see Coliva 2015, 2016, 2020</w:t>
      </w:r>
      <w:r w:rsidR="00341CD9">
        <w:rPr>
          <w:lang w:val="en-US"/>
        </w:rPr>
        <w:t>b</w:t>
      </w:r>
      <w:r>
        <w:rPr>
          <w:lang w:val="en-US"/>
        </w:rPr>
        <w:t xml:space="preserve">. </w:t>
      </w:r>
    </w:p>
  </w:footnote>
  <w:footnote w:id="14">
    <w:p w:rsidR="005945C1" w:rsidRPr="006152DE" w:rsidRDefault="005945C1" w:rsidP="00AE015C">
      <w:pPr>
        <w:pStyle w:val="FootnoteText"/>
        <w:spacing w:beforeAutospacing="0" w:afterAutospacing="0" w:line="360" w:lineRule="auto"/>
        <w:jc w:val="both"/>
        <w:rPr>
          <w:lang w:val="en-US"/>
        </w:rPr>
      </w:pPr>
      <w:r>
        <w:rPr>
          <w:rStyle w:val="FootnoteReference"/>
        </w:rPr>
        <w:footnoteRef/>
      </w:r>
      <w:r w:rsidRPr="006152DE">
        <w:rPr>
          <w:lang w:val="en-US"/>
        </w:rPr>
        <w:t xml:space="preserve"> </w:t>
      </w:r>
      <w:r>
        <w:rPr>
          <w:lang w:val="en-US"/>
        </w:rPr>
        <w:t>For more on this issue, see Burge 2010, and Coliva 2015.</w:t>
      </w:r>
    </w:p>
  </w:footnote>
  <w:footnote w:id="15">
    <w:p w:rsidR="005945C1" w:rsidRPr="004059A6" w:rsidRDefault="005945C1" w:rsidP="00AE015C">
      <w:pPr>
        <w:pStyle w:val="FootnoteText"/>
        <w:spacing w:beforeAutospacing="0" w:afterAutospacing="0" w:line="360" w:lineRule="auto"/>
        <w:jc w:val="both"/>
        <w:rPr>
          <w:lang w:val="en-US"/>
        </w:rPr>
      </w:pPr>
      <w:r>
        <w:rPr>
          <w:rStyle w:val="FootnoteReference"/>
        </w:rPr>
        <w:footnoteRef/>
      </w:r>
      <w:r w:rsidRPr="004059A6">
        <w:rPr>
          <w:lang w:val="en-US"/>
        </w:rPr>
        <w:t xml:space="preserve"> </w:t>
      </w:r>
      <w:r>
        <w:rPr>
          <w:lang w:val="en-US"/>
        </w:rPr>
        <w:t>The grammatical use of “I know” does not express genuine knowledge, for Wittgenstein, but certainty and it applies to hinges, not to ordinary empirical propositions.</w:t>
      </w:r>
      <w:r w:rsidR="00343DEC">
        <w:rPr>
          <w:lang w:val="en-US"/>
        </w:rPr>
        <w:t xml:space="preserve"> Fo</w:t>
      </w:r>
      <w:r w:rsidR="00341CD9">
        <w:rPr>
          <w:lang w:val="en-US"/>
        </w:rPr>
        <w:t>r a discussion, See Coliva 2020c</w:t>
      </w:r>
      <w:r w:rsidR="00343DEC">
        <w:rPr>
          <w:lang w:val="en-US"/>
        </w:rPr>
        <w:t>.</w:t>
      </w:r>
    </w:p>
  </w:footnote>
  <w:footnote w:id="16">
    <w:p w:rsidR="005945C1" w:rsidRPr="00136C48" w:rsidRDefault="005945C1" w:rsidP="00AE015C">
      <w:pPr>
        <w:pStyle w:val="FootnoteText"/>
        <w:spacing w:beforeAutospacing="0" w:afterAutospacing="0" w:line="360" w:lineRule="auto"/>
        <w:jc w:val="both"/>
        <w:rPr>
          <w:lang w:val="en-US"/>
        </w:rPr>
      </w:pPr>
      <w:r>
        <w:rPr>
          <w:rStyle w:val="FootnoteReference"/>
        </w:rPr>
        <w:footnoteRef/>
      </w:r>
      <w:r w:rsidRPr="00136C48">
        <w:rPr>
          <w:lang w:val="en-US"/>
        </w:rPr>
        <w:t xml:space="preserve"> </w:t>
      </w:r>
      <w:r>
        <w:rPr>
          <w:lang w:val="en-US"/>
        </w:rPr>
        <w:t>The following draws in part on Coliva 2018.</w:t>
      </w:r>
    </w:p>
  </w:footnote>
  <w:footnote w:id="17">
    <w:p w:rsidR="005945C1" w:rsidRPr="00C20689" w:rsidRDefault="005945C1" w:rsidP="00AE015C">
      <w:pPr>
        <w:pStyle w:val="FootnoteText"/>
        <w:spacing w:beforeAutospacing="0" w:afterAutospacing="0" w:line="360" w:lineRule="auto"/>
        <w:jc w:val="both"/>
        <w:rPr>
          <w:lang w:val="en-US"/>
        </w:rPr>
      </w:pPr>
      <w:r>
        <w:rPr>
          <w:rStyle w:val="FootnoteReference"/>
        </w:rPr>
        <w:footnoteRef/>
      </w:r>
      <w:r w:rsidRPr="00C20689">
        <w:rPr>
          <w:lang w:val="en-US"/>
        </w:rPr>
        <w:t xml:space="preserve"> </w:t>
      </w:r>
      <w:r>
        <w:rPr>
          <w:lang w:val="en-US"/>
        </w:rPr>
        <w:t xml:space="preserve">The term is notoriously </w:t>
      </w:r>
      <w:proofErr w:type="spellStart"/>
      <w:r w:rsidR="00DA20EC">
        <w:rPr>
          <w:lang w:val="en-US"/>
        </w:rPr>
        <w:t>Dretske’s</w:t>
      </w:r>
      <w:proofErr w:type="spellEnd"/>
      <w:r w:rsidR="00DA20EC">
        <w:rPr>
          <w:lang w:val="en-US"/>
        </w:rPr>
        <w:t xml:space="preserve"> (1970).</w:t>
      </w:r>
    </w:p>
  </w:footnote>
  <w:footnote w:id="18">
    <w:p w:rsidR="005945C1" w:rsidRPr="001050A2" w:rsidRDefault="005945C1" w:rsidP="00AE015C">
      <w:pPr>
        <w:pStyle w:val="FootnoteText"/>
        <w:spacing w:beforeAutospacing="0" w:afterAutospacing="0" w:line="360" w:lineRule="auto"/>
        <w:jc w:val="both"/>
        <w:rPr>
          <w:rFonts w:asciiTheme="minorHAnsi" w:eastAsia="Times New Roman" w:hAnsiTheme="minorHAnsi"/>
          <w:color w:val="000000"/>
          <w:lang w:val="en-US" w:eastAsia="it-IT"/>
        </w:rPr>
      </w:pPr>
      <w:r w:rsidRPr="001050A2">
        <w:rPr>
          <w:rStyle w:val="FootnoteReference"/>
          <w:rFonts w:asciiTheme="minorHAnsi" w:hAnsiTheme="minorHAnsi"/>
        </w:rPr>
        <w:footnoteRef/>
      </w:r>
      <w:r w:rsidRPr="001050A2">
        <w:rPr>
          <w:rFonts w:asciiTheme="minorHAnsi" w:hAnsiTheme="minorHAnsi"/>
          <w:lang w:val="en-US"/>
        </w:rPr>
        <w:t xml:space="preserve"> </w:t>
      </w:r>
      <w:r>
        <w:rPr>
          <w:rFonts w:asciiTheme="minorHAnsi" w:hAnsiTheme="minorHAnsi"/>
          <w:lang w:val="en-US"/>
        </w:rPr>
        <w:t xml:space="preserve">See </w:t>
      </w:r>
      <w:r w:rsidR="00CD5AFD">
        <w:rPr>
          <w:rFonts w:asciiTheme="minorHAnsi" w:eastAsia="Times New Roman" w:hAnsiTheme="minorHAnsi"/>
          <w:color w:val="000000"/>
          <w:lang w:val="en-US" w:eastAsia="it-IT"/>
        </w:rPr>
        <w:t>Wright 2014</w:t>
      </w:r>
      <w:r w:rsidRPr="001050A2">
        <w:rPr>
          <w:rFonts w:asciiTheme="minorHAnsi" w:eastAsia="Times New Roman" w:hAnsiTheme="minorHAnsi"/>
          <w:color w:val="000000"/>
          <w:lang w:val="en-US" w:eastAsia="it-IT"/>
        </w:rPr>
        <w:t xml:space="preserve"> (pp. 232-235)</w:t>
      </w:r>
      <w:r>
        <w:rPr>
          <w:rFonts w:asciiTheme="minorHAnsi" w:eastAsia="Times New Roman" w:hAnsiTheme="minorHAnsi"/>
          <w:color w:val="000000"/>
          <w:lang w:val="en-US" w:eastAsia="it-IT"/>
        </w:rPr>
        <w:t>, which</w:t>
      </w:r>
      <w:r w:rsidRPr="001050A2">
        <w:rPr>
          <w:rFonts w:asciiTheme="minorHAnsi" w:eastAsia="Times New Roman" w:hAnsiTheme="minorHAnsi"/>
          <w:color w:val="000000"/>
          <w:lang w:val="en-US" w:eastAsia="it-IT"/>
        </w:rPr>
        <w:t xml:space="preserve"> represents a considerable change of m</w:t>
      </w:r>
      <w:r>
        <w:rPr>
          <w:rFonts w:asciiTheme="minorHAnsi" w:eastAsia="Times New Roman" w:hAnsiTheme="minorHAnsi"/>
          <w:color w:val="000000"/>
          <w:lang w:val="en-US" w:eastAsia="it-IT"/>
        </w:rPr>
        <w:t>ind with respect to Wright 2004</w:t>
      </w:r>
      <w:r w:rsidRPr="001050A2">
        <w:rPr>
          <w:rFonts w:asciiTheme="minorHAnsi" w:eastAsia="Times New Roman" w:hAnsiTheme="minorHAnsi"/>
          <w:color w:val="000000"/>
          <w:lang w:val="en-US" w:eastAsia="it-IT"/>
        </w:rPr>
        <w:t>.</w:t>
      </w:r>
    </w:p>
  </w:footnote>
  <w:footnote w:id="19">
    <w:p w:rsidR="005945C1" w:rsidRPr="004B213F" w:rsidRDefault="005945C1" w:rsidP="00AE015C">
      <w:pPr>
        <w:pStyle w:val="FootnoteText"/>
        <w:spacing w:beforeAutospacing="0" w:afterAutospacing="0" w:line="360" w:lineRule="auto"/>
        <w:jc w:val="both"/>
        <w:rPr>
          <w:lang w:val="en-US"/>
        </w:rPr>
      </w:pPr>
      <w:r>
        <w:rPr>
          <w:rStyle w:val="FootnoteReference"/>
        </w:rPr>
        <w:footnoteRef/>
      </w:r>
      <w:r w:rsidRPr="004B213F">
        <w:rPr>
          <w:lang w:val="en-US"/>
        </w:rPr>
        <w:t xml:space="preserve"> </w:t>
      </w:r>
      <w:r>
        <w:rPr>
          <w:lang w:val="en-US"/>
        </w:rPr>
        <w:t>See §4.</w:t>
      </w:r>
    </w:p>
  </w:footnote>
  <w:footnote w:id="20">
    <w:p w:rsidR="005945C1" w:rsidRPr="001050A2" w:rsidRDefault="005945C1" w:rsidP="00AE015C">
      <w:pPr>
        <w:pStyle w:val="FootnoteText"/>
        <w:spacing w:beforeAutospacing="0" w:afterAutospacing="0" w:line="360" w:lineRule="auto"/>
        <w:jc w:val="both"/>
        <w:rPr>
          <w:rFonts w:asciiTheme="minorHAnsi" w:hAnsiTheme="minorHAnsi"/>
          <w:lang w:val="en-US"/>
        </w:rPr>
      </w:pPr>
      <w:r w:rsidRPr="001050A2">
        <w:rPr>
          <w:rStyle w:val="FootnoteReference"/>
          <w:rFonts w:asciiTheme="minorHAnsi" w:hAnsiTheme="minorHAnsi"/>
        </w:rPr>
        <w:footnoteRef/>
      </w:r>
      <w:r w:rsidRPr="001050A2">
        <w:rPr>
          <w:rFonts w:asciiTheme="minorHAnsi" w:hAnsiTheme="minorHAnsi"/>
          <w:lang w:val="en-US"/>
        </w:rPr>
        <w:t xml:space="preserve"> I myself have defended this strategy in Coliva 2015</w:t>
      </w:r>
      <w:r w:rsidR="00F50FAA">
        <w:rPr>
          <w:rFonts w:asciiTheme="minorHAnsi" w:hAnsiTheme="minorHAnsi"/>
          <w:lang w:val="en-US"/>
        </w:rPr>
        <w:t xml:space="preserve">, </w:t>
      </w:r>
      <w:r w:rsidRPr="001050A2">
        <w:rPr>
          <w:rFonts w:asciiTheme="minorHAnsi" w:hAnsiTheme="minorHAnsi"/>
          <w:lang w:val="en-US"/>
        </w:rPr>
        <w:t xml:space="preserve">chapter 3. </w:t>
      </w:r>
      <w:proofErr w:type="spellStart"/>
      <w:r w:rsidRPr="001050A2">
        <w:rPr>
          <w:rFonts w:asciiTheme="minorHAnsi" w:hAnsiTheme="minorHAnsi"/>
          <w:lang w:val="en-US"/>
        </w:rPr>
        <w:t>Dretske</w:t>
      </w:r>
      <w:proofErr w:type="spellEnd"/>
      <w:r w:rsidRPr="001050A2">
        <w:rPr>
          <w:rFonts w:asciiTheme="minorHAnsi" w:hAnsiTheme="minorHAnsi"/>
          <w:lang w:val="en-US"/>
        </w:rPr>
        <w:t xml:space="preserve"> 1970 and Nozick 1981 have too, although they differed about the principled reasons why Closure should fail. Their reasons were grounded in their respective accounts of knowledge. Mine are in fact grounded </w:t>
      </w:r>
      <w:r>
        <w:rPr>
          <w:rFonts w:asciiTheme="minorHAnsi" w:hAnsiTheme="minorHAnsi"/>
          <w:lang w:val="en-US"/>
        </w:rPr>
        <w:t>in the</w:t>
      </w:r>
      <w:r w:rsidRPr="001050A2">
        <w:rPr>
          <w:rFonts w:asciiTheme="minorHAnsi" w:hAnsiTheme="minorHAnsi"/>
          <w:lang w:val="en-US"/>
        </w:rPr>
        <w:t xml:space="preserve"> “moderate” conception of the structure of empirical justification, according to which the latter is due to having a certain course of experience, absent defeaters, once certain heavyweight assumptions—like “there is an external world”, or “our sense organs are mostly reliable”, etc.—are in place. </w:t>
      </w:r>
    </w:p>
  </w:footnote>
  <w:footnote w:id="21">
    <w:p w:rsidR="005945C1" w:rsidRPr="001050A2" w:rsidRDefault="005945C1" w:rsidP="00AE015C">
      <w:pPr>
        <w:pStyle w:val="FootnoteText"/>
        <w:spacing w:beforeAutospacing="0" w:afterAutospacing="0" w:line="360" w:lineRule="auto"/>
        <w:jc w:val="both"/>
        <w:rPr>
          <w:rFonts w:asciiTheme="minorHAnsi" w:hAnsiTheme="minorHAnsi"/>
          <w:lang w:val="en-US"/>
        </w:rPr>
      </w:pPr>
      <w:r w:rsidRPr="001050A2">
        <w:rPr>
          <w:rStyle w:val="FootnoteReference"/>
          <w:rFonts w:asciiTheme="minorHAnsi" w:hAnsiTheme="minorHAnsi"/>
        </w:rPr>
        <w:footnoteRef/>
      </w:r>
      <w:r w:rsidRPr="001050A2">
        <w:rPr>
          <w:rFonts w:asciiTheme="minorHAnsi" w:hAnsiTheme="minorHAnsi"/>
          <w:lang w:val="en-US"/>
        </w:rPr>
        <w:t xml:space="preserve"> </w:t>
      </w:r>
      <w:r w:rsidRPr="001050A2">
        <w:rPr>
          <w:rFonts w:asciiTheme="minorHAnsi" w:eastAsia="Times New Roman" w:hAnsiTheme="minorHAnsi"/>
          <w:color w:val="000000"/>
          <w:lang w:val="en-US" w:eastAsia="it-IT"/>
        </w:rPr>
        <w:t>See Coliva 2015</w:t>
      </w:r>
      <w:r w:rsidR="00F50FAA">
        <w:rPr>
          <w:rFonts w:asciiTheme="minorHAnsi" w:eastAsia="Times New Roman" w:hAnsiTheme="minorHAnsi"/>
          <w:color w:val="000000"/>
          <w:lang w:val="en-US" w:eastAsia="it-IT"/>
        </w:rPr>
        <w:t xml:space="preserve">, </w:t>
      </w:r>
      <w:r w:rsidRPr="001050A2">
        <w:rPr>
          <w:rFonts w:asciiTheme="minorHAnsi" w:eastAsia="Times New Roman" w:hAnsiTheme="minorHAnsi"/>
          <w:color w:val="000000"/>
          <w:lang w:val="en-US" w:eastAsia="it-IT"/>
        </w:rPr>
        <w:t>chapter 3.</w:t>
      </w:r>
    </w:p>
  </w:footnote>
  <w:footnote w:id="22">
    <w:p w:rsidR="005945C1" w:rsidRPr="00D909C8" w:rsidRDefault="005945C1" w:rsidP="00AE015C">
      <w:pPr>
        <w:pStyle w:val="FootnoteText"/>
        <w:spacing w:beforeAutospacing="0" w:afterAutospacing="0" w:line="360" w:lineRule="auto"/>
        <w:jc w:val="both"/>
        <w:rPr>
          <w:lang w:val="en-US"/>
        </w:rPr>
      </w:pPr>
      <w:r>
        <w:rPr>
          <w:rStyle w:val="FootnoteReference"/>
        </w:rPr>
        <w:footnoteRef/>
      </w:r>
      <w:r w:rsidRPr="00D909C8">
        <w:rPr>
          <w:lang w:val="en-US"/>
        </w:rPr>
        <w:t xml:space="preserve"> </w:t>
      </w:r>
      <w:r>
        <w:rPr>
          <w:lang w:val="en-US"/>
        </w:rPr>
        <w:t>See Coliva 2015, chapter 3.</w:t>
      </w:r>
    </w:p>
  </w:footnote>
  <w:footnote w:id="23">
    <w:p w:rsidR="00EE05AA" w:rsidRPr="00EE05AA" w:rsidRDefault="00EE05AA" w:rsidP="00AE015C">
      <w:pPr>
        <w:pStyle w:val="FootnoteText"/>
        <w:spacing w:before="100" w:after="100" w:line="360" w:lineRule="auto"/>
        <w:jc w:val="both"/>
        <w:rPr>
          <w:lang w:val="en-US"/>
        </w:rPr>
      </w:pPr>
      <w:r>
        <w:rPr>
          <w:rStyle w:val="FootnoteReference"/>
        </w:rPr>
        <w:footnoteRef/>
      </w:r>
      <w:r w:rsidRPr="00EE05AA">
        <w:rPr>
          <w:lang w:val="en-US"/>
        </w:rPr>
        <w:t xml:space="preserve"> </w:t>
      </w:r>
      <w:r>
        <w:rPr>
          <w:lang w:val="en-US"/>
        </w:rPr>
        <w:t xml:space="preserve">Cf. OC 183. I doubt that nowadays anything related to Napoleon’s history, would play a hinge a role for anyone, save maybe historians </w:t>
      </w:r>
      <w:r w:rsidR="003B478D">
        <w:rPr>
          <w:lang w:val="en-US"/>
        </w:rPr>
        <w:t xml:space="preserve">specializing </w:t>
      </w:r>
      <w:r>
        <w:rPr>
          <w:lang w:val="en-US"/>
        </w:rPr>
        <w:t xml:space="preserve">in </w:t>
      </w:r>
      <w:r w:rsidR="003B478D">
        <w:rPr>
          <w:lang w:val="en-US"/>
        </w:rPr>
        <w:t>that topic</w:t>
      </w:r>
      <w:r>
        <w:rPr>
          <w:lang w:val="en-US"/>
        </w:rPr>
        <w:t>.</w:t>
      </w:r>
      <w:r w:rsidR="00607538">
        <w:rPr>
          <w:lang w:val="en-US"/>
        </w:rPr>
        <w:t xml:space="preserve"> This is related to the thorny issue of hinges’ demarcation.</w:t>
      </w:r>
    </w:p>
  </w:footnote>
  <w:footnote w:id="24">
    <w:p w:rsidR="00343DEC" w:rsidRPr="00343DEC" w:rsidRDefault="00343DEC" w:rsidP="00AE015C">
      <w:pPr>
        <w:pStyle w:val="FootnoteText"/>
        <w:spacing w:beforeAutospacing="0" w:afterAutospacing="0" w:line="360" w:lineRule="auto"/>
        <w:rPr>
          <w:lang w:val="en-US"/>
        </w:rPr>
      </w:pPr>
      <w:r>
        <w:rPr>
          <w:rStyle w:val="FootnoteReference"/>
        </w:rPr>
        <w:footnoteRef/>
      </w:r>
      <w:r w:rsidRPr="00542079">
        <w:rPr>
          <w:lang w:val="en-US"/>
        </w:rPr>
        <w:t xml:space="preserve"> </w:t>
      </w:r>
      <w:r>
        <w:rPr>
          <w:lang w:val="en-US"/>
        </w:rPr>
        <w:t>In Coliva &amp; Palmira 2020 a demarcation test is proposed.</w:t>
      </w:r>
    </w:p>
  </w:footnote>
  <w:footnote w:id="25">
    <w:p w:rsidR="005945C1" w:rsidRPr="001050A2" w:rsidRDefault="005945C1" w:rsidP="00AE015C">
      <w:pPr>
        <w:pStyle w:val="FootnoteText"/>
        <w:spacing w:beforeAutospacing="0" w:afterAutospacing="0" w:line="360" w:lineRule="auto"/>
        <w:jc w:val="both"/>
        <w:rPr>
          <w:rFonts w:asciiTheme="minorHAnsi" w:hAnsiTheme="minorHAnsi"/>
          <w:lang w:val="en-US"/>
        </w:rPr>
      </w:pPr>
      <w:r w:rsidRPr="001050A2">
        <w:rPr>
          <w:rStyle w:val="FootnoteReference"/>
          <w:rFonts w:asciiTheme="minorHAnsi" w:hAnsiTheme="minorHAnsi"/>
        </w:rPr>
        <w:footnoteRef/>
      </w:r>
      <w:r w:rsidRPr="001050A2">
        <w:rPr>
          <w:rFonts w:asciiTheme="minorHAnsi" w:hAnsiTheme="minorHAnsi"/>
          <w:lang w:val="en-US"/>
        </w:rPr>
        <w:t xml:space="preserve"> Wright thinks </w:t>
      </w:r>
      <w:r>
        <w:rPr>
          <w:rFonts w:asciiTheme="minorHAnsi" w:hAnsiTheme="minorHAnsi"/>
          <w:lang w:val="en-US"/>
        </w:rPr>
        <w:t xml:space="preserve">that </w:t>
      </w:r>
      <w:r w:rsidRPr="001050A2">
        <w:rPr>
          <w:rFonts w:asciiTheme="minorHAnsi" w:hAnsiTheme="minorHAnsi"/>
          <w:lang w:val="en-US"/>
        </w:rPr>
        <w:t xml:space="preserve">it involves a form of trust in which one is taking a risk. I do not think this is a necessary component of acceptance and I believe Wright’s reading is at odds with </w:t>
      </w:r>
      <w:r w:rsidRPr="001050A2">
        <w:rPr>
          <w:rFonts w:asciiTheme="minorHAnsi" w:hAnsiTheme="minorHAnsi"/>
          <w:i/>
          <w:lang w:val="en-US"/>
        </w:rPr>
        <w:t>On Certainty</w:t>
      </w:r>
      <w:r w:rsidRPr="001050A2">
        <w:rPr>
          <w:rFonts w:asciiTheme="minorHAnsi" w:hAnsiTheme="minorHAnsi"/>
          <w:lang w:val="en-US"/>
        </w:rPr>
        <w:t>. See Coliva 2010 (pp. 135-138).</w:t>
      </w:r>
    </w:p>
  </w:footnote>
  <w:footnote w:id="26">
    <w:p w:rsidR="005945C1" w:rsidRPr="00D27340" w:rsidRDefault="005945C1" w:rsidP="00AE015C">
      <w:pPr>
        <w:pStyle w:val="FootnoteText"/>
        <w:spacing w:beforeAutospacing="0" w:afterAutospacing="0" w:line="360" w:lineRule="auto"/>
        <w:jc w:val="both"/>
        <w:rPr>
          <w:lang w:val="en-US"/>
        </w:rPr>
      </w:pPr>
      <w:r>
        <w:rPr>
          <w:rStyle w:val="FootnoteReference"/>
        </w:rPr>
        <w:footnoteRef/>
      </w:r>
      <w:r w:rsidRPr="00D27340">
        <w:rPr>
          <w:lang w:val="en-US"/>
        </w:rPr>
        <w:t xml:space="preserve"> </w:t>
      </w:r>
      <w:r>
        <w:rPr>
          <w:lang w:val="en-US"/>
        </w:rPr>
        <w:t>This kind of transmission failure would differ from Wright</w:t>
      </w:r>
      <w:r w:rsidR="00FD56D0">
        <w:rPr>
          <w:lang w:val="en-US"/>
        </w:rPr>
        <w:t>’s</w:t>
      </w:r>
      <w:r>
        <w:rPr>
          <w:lang w:val="en-US"/>
        </w:rPr>
        <w:t xml:space="preserve"> insofar as it would not depend on presupposing that (III) needs to be independently justified </w:t>
      </w:r>
      <w:proofErr w:type="gramStart"/>
      <w:r>
        <w:rPr>
          <w:lang w:val="en-US"/>
        </w:rPr>
        <w:t>in order for</w:t>
      </w:r>
      <w:proofErr w:type="gramEnd"/>
      <w:r>
        <w:rPr>
          <w:lang w:val="en-US"/>
        </w:rPr>
        <w:t xml:space="preserve"> the perceptual justification of (I) to be possible. For a detailed discussion, see Coliva 2015, chapter 3.</w:t>
      </w:r>
    </w:p>
  </w:footnote>
  <w:footnote w:id="27">
    <w:p w:rsidR="005945C1" w:rsidRPr="001050A2" w:rsidRDefault="005945C1" w:rsidP="00AE015C">
      <w:pPr>
        <w:pStyle w:val="FootnoteText"/>
        <w:spacing w:beforeAutospacing="0" w:afterAutospacing="0" w:line="360" w:lineRule="auto"/>
        <w:jc w:val="both"/>
        <w:rPr>
          <w:rFonts w:asciiTheme="minorHAnsi" w:hAnsiTheme="minorHAnsi"/>
          <w:lang w:val="en-US"/>
        </w:rPr>
      </w:pPr>
      <w:r w:rsidRPr="001050A2">
        <w:rPr>
          <w:rStyle w:val="FootnoteReference"/>
          <w:rFonts w:asciiTheme="minorHAnsi" w:hAnsiTheme="minorHAnsi"/>
        </w:rPr>
        <w:footnoteRef/>
      </w:r>
      <w:r w:rsidRPr="001050A2">
        <w:rPr>
          <w:rFonts w:asciiTheme="minorHAnsi" w:hAnsiTheme="minorHAnsi"/>
          <w:lang w:val="en-US"/>
        </w:rPr>
        <w:t xml:space="preserve"> </w:t>
      </w:r>
      <w:r w:rsidRPr="001050A2">
        <w:rPr>
          <w:rFonts w:asciiTheme="minorHAnsi" w:eastAsia="Times New Roman" w:hAnsiTheme="minorHAnsi"/>
          <w:color w:val="000000"/>
          <w:lang w:val="en-US" w:eastAsia="it-IT"/>
        </w:rPr>
        <w:t>See Coliva 2015</w:t>
      </w:r>
      <w:r w:rsidR="002209CF">
        <w:rPr>
          <w:rFonts w:asciiTheme="minorHAnsi" w:eastAsia="Times New Roman" w:hAnsiTheme="minorHAnsi"/>
          <w:color w:val="000000"/>
          <w:lang w:val="en-US" w:eastAsia="it-IT"/>
        </w:rPr>
        <w:t xml:space="preserve">, </w:t>
      </w:r>
      <w:r w:rsidRPr="001050A2">
        <w:rPr>
          <w:rFonts w:asciiTheme="minorHAnsi" w:eastAsia="Times New Roman" w:hAnsiTheme="minorHAnsi"/>
          <w:color w:val="000000"/>
          <w:lang w:val="en-US" w:eastAsia="it-IT"/>
        </w:rPr>
        <w:t>chapter 3.</w:t>
      </w:r>
    </w:p>
  </w:footnote>
  <w:footnote w:id="28">
    <w:p w:rsidR="005945C1" w:rsidRPr="00542079" w:rsidRDefault="005945C1" w:rsidP="00AE015C">
      <w:pPr>
        <w:pStyle w:val="FootnoteText"/>
        <w:spacing w:beforeAutospacing="0" w:afterAutospacing="0" w:line="360" w:lineRule="auto"/>
        <w:jc w:val="both"/>
        <w:rPr>
          <w:lang w:val="en-US"/>
        </w:rPr>
      </w:pPr>
      <w:r>
        <w:rPr>
          <w:rStyle w:val="FootnoteReference"/>
        </w:rPr>
        <w:footnoteRef/>
      </w:r>
      <w:r w:rsidR="006D3ADB">
        <w:rPr>
          <w:lang w:val="en-US"/>
        </w:rPr>
        <w:t xml:space="preserve"> Cf. OC 383, 676.</w:t>
      </w:r>
    </w:p>
  </w:footnote>
  <w:footnote w:id="29">
    <w:p w:rsidR="005945C1" w:rsidRPr="00DC2890" w:rsidRDefault="005945C1" w:rsidP="00AE015C">
      <w:pPr>
        <w:pStyle w:val="FootnoteText"/>
        <w:spacing w:beforeAutospacing="0" w:afterAutospacing="0" w:line="360" w:lineRule="auto"/>
        <w:jc w:val="both"/>
        <w:rPr>
          <w:lang w:val="en-US"/>
        </w:rPr>
      </w:pPr>
      <w:r>
        <w:rPr>
          <w:rStyle w:val="FootnoteReference"/>
        </w:rPr>
        <w:footnoteRef/>
      </w:r>
      <w:r w:rsidRPr="00DC2890">
        <w:rPr>
          <w:lang w:val="en-US"/>
        </w:rPr>
        <w:t xml:space="preserve"> In Coliva </w:t>
      </w:r>
      <w:r w:rsidR="006D3ADB">
        <w:rPr>
          <w:lang w:val="en-US"/>
        </w:rPr>
        <w:t>(2010)</w:t>
      </w:r>
      <w:r w:rsidRPr="00DC2890">
        <w:rPr>
          <w:lang w:val="en-US"/>
        </w:rPr>
        <w:t xml:space="preserve"> I have argued that for Wittgenstein it plays a grammatical role and is not nonsense.</w:t>
      </w:r>
    </w:p>
  </w:footnote>
  <w:footnote w:id="30">
    <w:p w:rsidR="00FD56D0" w:rsidRPr="00F01F5C" w:rsidRDefault="00FD56D0" w:rsidP="00AE015C">
      <w:pPr>
        <w:pStyle w:val="FootnoteText"/>
        <w:spacing w:beforeAutospacing="0" w:afterAutospacing="0" w:line="360" w:lineRule="auto"/>
        <w:jc w:val="both"/>
        <w:rPr>
          <w:lang w:val="en-US"/>
        </w:rPr>
      </w:pPr>
      <w:r>
        <w:rPr>
          <w:rStyle w:val="FootnoteReference"/>
        </w:rPr>
        <w:footnoteRef/>
      </w:r>
      <w:r w:rsidRPr="00F01F5C">
        <w:rPr>
          <w:lang w:val="en-US"/>
        </w:rPr>
        <w:t xml:space="preserve"> In the former case, the proposition would be believed, in the latter it would be accepted, where acceptance</w:t>
      </w:r>
      <w:r>
        <w:rPr>
          <w:lang w:val="en-US"/>
        </w:rPr>
        <w:t>, on my account,</w:t>
      </w:r>
      <w:r w:rsidRPr="00F01F5C">
        <w:rPr>
          <w:lang w:val="en-US"/>
        </w:rPr>
        <w:t xml:space="preserve"> is possible without epistemic evidence backing its content.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56B02"/>
    <w:multiLevelType w:val="hybridMultilevel"/>
    <w:tmpl w:val="253E3368"/>
    <w:lvl w:ilvl="0" w:tplc="AD367B7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15B1E61"/>
    <w:multiLevelType w:val="multilevel"/>
    <w:tmpl w:val="DB8653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3D223BC"/>
    <w:multiLevelType w:val="hybridMultilevel"/>
    <w:tmpl w:val="E9F4F136"/>
    <w:lvl w:ilvl="0" w:tplc="6764D6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2C1192"/>
    <w:multiLevelType w:val="hybridMultilevel"/>
    <w:tmpl w:val="505C729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6438AE"/>
    <w:multiLevelType w:val="hybridMultilevel"/>
    <w:tmpl w:val="3F68E6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CC"/>
    <w:rsid w:val="000041B0"/>
    <w:rsid w:val="00040CEA"/>
    <w:rsid w:val="00081CAC"/>
    <w:rsid w:val="000843F1"/>
    <w:rsid w:val="00085CBF"/>
    <w:rsid w:val="0009478A"/>
    <w:rsid w:val="000B332C"/>
    <w:rsid w:val="000C1175"/>
    <w:rsid w:val="000D0E78"/>
    <w:rsid w:val="001050A2"/>
    <w:rsid w:val="001123D3"/>
    <w:rsid w:val="00136C48"/>
    <w:rsid w:val="001672D1"/>
    <w:rsid w:val="001916A0"/>
    <w:rsid w:val="00192599"/>
    <w:rsid w:val="001B0925"/>
    <w:rsid w:val="001D6F0C"/>
    <w:rsid w:val="001E1332"/>
    <w:rsid w:val="0021195D"/>
    <w:rsid w:val="002209CF"/>
    <w:rsid w:val="00232F72"/>
    <w:rsid w:val="0027334B"/>
    <w:rsid w:val="002A2BD0"/>
    <w:rsid w:val="002E289F"/>
    <w:rsid w:val="0030161B"/>
    <w:rsid w:val="00321B6D"/>
    <w:rsid w:val="003238B4"/>
    <w:rsid w:val="00341CD9"/>
    <w:rsid w:val="00343DEC"/>
    <w:rsid w:val="00356C1C"/>
    <w:rsid w:val="00367ACC"/>
    <w:rsid w:val="003B478D"/>
    <w:rsid w:val="003F0A56"/>
    <w:rsid w:val="004059A6"/>
    <w:rsid w:val="00417AF4"/>
    <w:rsid w:val="004249AA"/>
    <w:rsid w:val="004523C0"/>
    <w:rsid w:val="004547C6"/>
    <w:rsid w:val="0045495A"/>
    <w:rsid w:val="00460D97"/>
    <w:rsid w:val="00464413"/>
    <w:rsid w:val="00473410"/>
    <w:rsid w:val="004B213F"/>
    <w:rsid w:val="004B77E1"/>
    <w:rsid w:val="004C5F20"/>
    <w:rsid w:val="004C6263"/>
    <w:rsid w:val="004E1825"/>
    <w:rsid w:val="00511633"/>
    <w:rsid w:val="00520DE1"/>
    <w:rsid w:val="00542079"/>
    <w:rsid w:val="0054280F"/>
    <w:rsid w:val="00560F21"/>
    <w:rsid w:val="005945C1"/>
    <w:rsid w:val="005A01AC"/>
    <w:rsid w:val="005A1A60"/>
    <w:rsid w:val="005C0E52"/>
    <w:rsid w:val="005D6609"/>
    <w:rsid w:val="006015AC"/>
    <w:rsid w:val="00605CFA"/>
    <w:rsid w:val="00607538"/>
    <w:rsid w:val="006152DE"/>
    <w:rsid w:val="006301D0"/>
    <w:rsid w:val="00644001"/>
    <w:rsid w:val="0069402B"/>
    <w:rsid w:val="006A0BE6"/>
    <w:rsid w:val="006A1151"/>
    <w:rsid w:val="006A4B51"/>
    <w:rsid w:val="006C639D"/>
    <w:rsid w:val="006D3ADB"/>
    <w:rsid w:val="006F4FDE"/>
    <w:rsid w:val="00734133"/>
    <w:rsid w:val="007839F5"/>
    <w:rsid w:val="00783B98"/>
    <w:rsid w:val="007D0E11"/>
    <w:rsid w:val="007D0FD1"/>
    <w:rsid w:val="007D2E7A"/>
    <w:rsid w:val="00810EF9"/>
    <w:rsid w:val="0081637E"/>
    <w:rsid w:val="00835947"/>
    <w:rsid w:val="008469E2"/>
    <w:rsid w:val="00883554"/>
    <w:rsid w:val="008B2489"/>
    <w:rsid w:val="008C7C1D"/>
    <w:rsid w:val="009115B0"/>
    <w:rsid w:val="00995CA7"/>
    <w:rsid w:val="009A0DBB"/>
    <w:rsid w:val="009A47B3"/>
    <w:rsid w:val="009C21CA"/>
    <w:rsid w:val="009E3E9E"/>
    <w:rsid w:val="00A03480"/>
    <w:rsid w:val="00A17AA0"/>
    <w:rsid w:val="00A24AE6"/>
    <w:rsid w:val="00A5618A"/>
    <w:rsid w:val="00A6527B"/>
    <w:rsid w:val="00AA7DC7"/>
    <w:rsid w:val="00AB1A9E"/>
    <w:rsid w:val="00AD19CC"/>
    <w:rsid w:val="00AE015C"/>
    <w:rsid w:val="00AE1F0A"/>
    <w:rsid w:val="00B2082A"/>
    <w:rsid w:val="00B42F3F"/>
    <w:rsid w:val="00B55294"/>
    <w:rsid w:val="00B71371"/>
    <w:rsid w:val="00B93939"/>
    <w:rsid w:val="00BB013F"/>
    <w:rsid w:val="00BB44FC"/>
    <w:rsid w:val="00BC3BEB"/>
    <w:rsid w:val="00BF277E"/>
    <w:rsid w:val="00C20689"/>
    <w:rsid w:val="00C3639C"/>
    <w:rsid w:val="00C40530"/>
    <w:rsid w:val="00C709A5"/>
    <w:rsid w:val="00C82F23"/>
    <w:rsid w:val="00C83FC3"/>
    <w:rsid w:val="00C90ACC"/>
    <w:rsid w:val="00CA4340"/>
    <w:rsid w:val="00CB2579"/>
    <w:rsid w:val="00CD5AFD"/>
    <w:rsid w:val="00CF7BBD"/>
    <w:rsid w:val="00D147BA"/>
    <w:rsid w:val="00D23C1E"/>
    <w:rsid w:val="00D27340"/>
    <w:rsid w:val="00D62C7C"/>
    <w:rsid w:val="00D86E84"/>
    <w:rsid w:val="00D909C8"/>
    <w:rsid w:val="00DA20EC"/>
    <w:rsid w:val="00DB10FC"/>
    <w:rsid w:val="00DC2890"/>
    <w:rsid w:val="00DD45A9"/>
    <w:rsid w:val="00E60909"/>
    <w:rsid w:val="00E659D2"/>
    <w:rsid w:val="00ED6835"/>
    <w:rsid w:val="00EE05AA"/>
    <w:rsid w:val="00EE56DB"/>
    <w:rsid w:val="00F01F5C"/>
    <w:rsid w:val="00F34971"/>
    <w:rsid w:val="00F47E6A"/>
    <w:rsid w:val="00F50FAA"/>
    <w:rsid w:val="00F9416A"/>
    <w:rsid w:val="00FD3985"/>
    <w:rsid w:val="00FD5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135C7-F327-488E-BCF4-6548D96A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D19CC"/>
    <w:pPr>
      <w:spacing w:beforeAutospacing="1" w:after="0" w:afterAutospacing="1" w:line="240" w:lineRule="auto"/>
    </w:pPr>
    <w:rPr>
      <w:rFonts w:ascii="Calibri" w:eastAsia="Calibri" w:hAnsi="Calibri" w:cs="Times New Roman"/>
      <w:sz w:val="20"/>
      <w:szCs w:val="20"/>
      <w:lang w:val="it-IT"/>
    </w:rPr>
  </w:style>
  <w:style w:type="character" w:customStyle="1" w:styleId="FootnoteTextChar">
    <w:name w:val="Footnote Text Char"/>
    <w:basedOn w:val="DefaultParagraphFont"/>
    <w:link w:val="FootnoteText"/>
    <w:uiPriority w:val="99"/>
    <w:rsid w:val="00AD19CC"/>
    <w:rPr>
      <w:rFonts w:ascii="Calibri" w:eastAsia="Calibri" w:hAnsi="Calibri" w:cs="Times New Roman"/>
      <w:sz w:val="20"/>
      <w:szCs w:val="20"/>
      <w:lang w:val="it-IT"/>
    </w:rPr>
  </w:style>
  <w:style w:type="character" w:styleId="FootnoteReference">
    <w:name w:val="footnote reference"/>
    <w:basedOn w:val="DefaultParagraphFont"/>
    <w:uiPriority w:val="99"/>
    <w:unhideWhenUsed/>
    <w:rsid w:val="00AD19CC"/>
    <w:rPr>
      <w:vertAlign w:val="superscript"/>
    </w:rPr>
  </w:style>
  <w:style w:type="paragraph" w:styleId="Header">
    <w:name w:val="header"/>
    <w:basedOn w:val="Normal"/>
    <w:link w:val="HeaderChar"/>
    <w:uiPriority w:val="99"/>
    <w:unhideWhenUsed/>
    <w:rsid w:val="00AD19CC"/>
    <w:pPr>
      <w:tabs>
        <w:tab w:val="center" w:pos="4986"/>
        <w:tab w:val="right" w:pos="9972"/>
      </w:tabs>
      <w:spacing w:after="0" w:line="240" w:lineRule="auto"/>
    </w:pPr>
  </w:style>
  <w:style w:type="character" w:customStyle="1" w:styleId="HeaderChar">
    <w:name w:val="Header Char"/>
    <w:basedOn w:val="DefaultParagraphFont"/>
    <w:link w:val="Header"/>
    <w:uiPriority w:val="99"/>
    <w:rsid w:val="00AD19CC"/>
  </w:style>
  <w:style w:type="paragraph" w:styleId="Footer">
    <w:name w:val="footer"/>
    <w:basedOn w:val="Normal"/>
    <w:link w:val="FooterChar"/>
    <w:uiPriority w:val="99"/>
    <w:unhideWhenUsed/>
    <w:rsid w:val="00AD19CC"/>
    <w:pPr>
      <w:tabs>
        <w:tab w:val="center" w:pos="4986"/>
        <w:tab w:val="right" w:pos="9972"/>
      </w:tabs>
      <w:spacing w:after="0" w:line="240" w:lineRule="auto"/>
    </w:pPr>
  </w:style>
  <w:style w:type="character" w:customStyle="1" w:styleId="FooterChar">
    <w:name w:val="Footer Char"/>
    <w:basedOn w:val="DefaultParagraphFont"/>
    <w:link w:val="Footer"/>
    <w:uiPriority w:val="99"/>
    <w:rsid w:val="00AD19CC"/>
  </w:style>
  <w:style w:type="paragraph" w:styleId="ListParagraph">
    <w:name w:val="List Paragraph"/>
    <w:basedOn w:val="Normal"/>
    <w:uiPriority w:val="34"/>
    <w:qFormat/>
    <w:rsid w:val="00AD19CC"/>
    <w:pPr>
      <w:ind w:left="720"/>
      <w:contextualSpacing/>
    </w:pPr>
  </w:style>
  <w:style w:type="character" w:styleId="Emphasis">
    <w:name w:val="Emphasis"/>
    <w:basedOn w:val="DefaultParagraphFont"/>
    <w:uiPriority w:val="20"/>
    <w:qFormat/>
    <w:rsid w:val="00B71371"/>
    <w:rPr>
      <w:i/>
      <w:iCs/>
    </w:rPr>
  </w:style>
  <w:style w:type="paragraph" w:styleId="BalloonText">
    <w:name w:val="Balloon Text"/>
    <w:basedOn w:val="Normal"/>
    <w:link w:val="BalloonTextChar"/>
    <w:uiPriority w:val="99"/>
    <w:semiHidden/>
    <w:unhideWhenUsed/>
    <w:rsid w:val="008C7C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C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F0A56-69A0-4891-87BB-4F55DD33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9131</Words>
  <Characters>52051</Characters>
  <Application>Microsoft Office Word</Application>
  <DocSecurity>0</DocSecurity>
  <Lines>433</Lines>
  <Paragraphs>122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61060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 Coliva</dc:creator>
  <cp:keywords/>
  <dc:description/>
  <cp:lastModifiedBy>Annalisa</cp:lastModifiedBy>
  <cp:revision>2</cp:revision>
  <cp:lastPrinted>2020-07-07T17:25:00Z</cp:lastPrinted>
  <dcterms:created xsi:type="dcterms:W3CDTF">2020-07-14T16:20:00Z</dcterms:created>
  <dcterms:modified xsi:type="dcterms:W3CDTF">2020-07-14T16:20:00Z</dcterms:modified>
</cp:coreProperties>
</file>