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E591" w14:textId="19CFB6F6" w:rsidR="009A1AF0" w:rsidRPr="009A1AF0" w:rsidRDefault="009A1AF0" w:rsidP="009A1AF0">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bCs/>
          <w:highlight w:val="white"/>
        </w:rPr>
      </w:pPr>
      <w:r w:rsidRPr="009A1AF0">
        <w:rPr>
          <w:rFonts w:ascii="Times New Roman" w:eastAsia="Times New Roman" w:hAnsi="Times New Roman" w:cs="Times New Roman"/>
          <w:b/>
          <w:bCs/>
          <w:highlight w:val="white"/>
        </w:rPr>
        <w:t>Religious Conflicts Examined Through a Hinge-Theoretic Framework</w:t>
      </w:r>
      <w:r w:rsidR="00780B1A">
        <w:rPr>
          <w:rStyle w:val="FootnoteReference"/>
          <w:rFonts w:ascii="Times New Roman" w:eastAsia="Times New Roman" w:hAnsi="Times New Roman" w:cs="Times New Roman"/>
          <w:b/>
          <w:bCs/>
          <w:highlight w:val="white"/>
        </w:rPr>
        <w:footnoteReference w:id="1"/>
      </w:r>
    </w:p>
    <w:p w14:paraId="04E3E35F" w14:textId="28C0BFA9" w:rsidR="00884965" w:rsidRDefault="00884965" w:rsidP="002A707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Annalisa Coliva</w:t>
      </w:r>
    </w:p>
    <w:p w14:paraId="53389E60" w14:textId="77777777" w:rsidR="00884965" w:rsidRDefault="00884965" w:rsidP="002A707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highlight w:val="white"/>
        </w:rPr>
      </w:pPr>
    </w:p>
    <w:p w14:paraId="70888785" w14:textId="77777777" w:rsidR="00454DEB" w:rsidRDefault="00454DEB" w:rsidP="002A707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highlight w:val="white"/>
        </w:rPr>
      </w:pPr>
    </w:p>
    <w:p w14:paraId="72FCB9BD" w14:textId="71FB068E" w:rsidR="00BF1D73" w:rsidRPr="00BF1D73" w:rsidRDefault="00BF1D73" w:rsidP="00BF1D73">
      <w:pPr>
        <w:pStyle w:val="ListParagraph"/>
        <w:numPr>
          <w:ilvl w:val="0"/>
          <w:numId w:val="9"/>
        </w:numPr>
        <w:pBdr>
          <w:top w:val="nil"/>
          <w:left w:val="nil"/>
          <w:bottom w:val="nil"/>
          <w:right w:val="nil"/>
          <w:between w:val="nil"/>
        </w:pBdr>
        <w:shd w:val="clear" w:color="auto" w:fill="FFFFFF"/>
        <w:spacing w:before="360" w:after="120" w:line="360" w:lineRule="auto"/>
        <w:jc w:val="both"/>
        <w:rPr>
          <w:rFonts w:ascii="Times New Roman" w:eastAsia="Times New Roman" w:hAnsi="Times New Roman" w:cs="Times New Roman"/>
          <w:b/>
          <w:bCs/>
          <w:highlight w:val="white"/>
        </w:rPr>
      </w:pPr>
      <w:r w:rsidRPr="00BF1D73">
        <w:rPr>
          <w:rFonts w:ascii="Times New Roman" w:eastAsia="Times New Roman" w:hAnsi="Times New Roman" w:cs="Times New Roman"/>
          <w:b/>
          <w:bCs/>
          <w:highlight w:val="white"/>
        </w:rPr>
        <w:t>Introduction</w:t>
      </w:r>
    </w:p>
    <w:p w14:paraId="7BD50350" w14:textId="78DB1A48" w:rsidR="00685E95" w:rsidRDefault="00685E95" w:rsidP="00685E95">
      <w:pPr>
        <w:spacing w:line="360" w:lineRule="auto"/>
        <w:jc w:val="both"/>
        <w:rPr>
          <w:rFonts w:ascii="Times New Roman" w:eastAsia="Times New Roman" w:hAnsi="Times New Roman" w:cs="Times New Roman"/>
          <w:lang w:eastAsia="en-US"/>
        </w:rPr>
      </w:pPr>
      <w:r w:rsidRPr="00685E95">
        <w:rPr>
          <w:rFonts w:ascii="Times New Roman" w:eastAsia="Times New Roman" w:hAnsi="Times New Roman" w:cs="Times New Roman"/>
          <w:lang w:eastAsia="en-US"/>
        </w:rPr>
        <w:t>Hinge epistemology</w:t>
      </w:r>
      <w:r w:rsidR="00D16C87">
        <w:rPr>
          <w:rFonts w:ascii="Times New Roman" w:eastAsia="Times New Roman" w:hAnsi="Times New Roman" w:cs="Times New Roman"/>
          <w:lang w:eastAsia="en-US"/>
        </w:rPr>
        <w:t xml:space="preserve"> is</w:t>
      </w:r>
      <w:r w:rsidRPr="00685E95">
        <w:rPr>
          <w:rFonts w:ascii="Times New Roman" w:eastAsia="Times New Roman" w:hAnsi="Times New Roman" w:cs="Times New Roman"/>
          <w:lang w:eastAsia="en-US"/>
        </w:rPr>
        <w:t xml:space="preserve"> an emerging theoretical framework grounded in Ludwig Wittgenstein’s final major work, </w:t>
      </w:r>
      <w:r w:rsidRPr="00685E95">
        <w:rPr>
          <w:rFonts w:ascii="Times New Roman" w:eastAsia="Times New Roman" w:hAnsi="Times New Roman" w:cs="Times New Roman"/>
          <w:i/>
          <w:iCs/>
          <w:lang w:eastAsia="en-US"/>
        </w:rPr>
        <w:t>On Certainty</w:t>
      </w:r>
      <w:r w:rsidRPr="00685E95">
        <w:rPr>
          <w:rFonts w:ascii="Times New Roman" w:eastAsia="Times New Roman" w:hAnsi="Times New Roman" w:cs="Times New Roman"/>
          <w:lang w:eastAsia="en-US"/>
        </w:rPr>
        <w:t xml:space="preserve"> (1969, published posthumously, hereafter </w:t>
      </w:r>
      <w:r w:rsidRPr="00685E95">
        <w:rPr>
          <w:rFonts w:ascii="Times New Roman" w:eastAsia="Times New Roman" w:hAnsi="Times New Roman" w:cs="Times New Roman"/>
          <w:i/>
          <w:iCs/>
          <w:lang w:eastAsia="en-US"/>
        </w:rPr>
        <w:t>OC</w:t>
      </w:r>
      <w:r w:rsidRPr="00685E95">
        <w:rPr>
          <w:rFonts w:ascii="Times New Roman" w:eastAsia="Times New Roman" w:hAnsi="Times New Roman" w:cs="Times New Roman"/>
          <w:lang w:eastAsia="en-US"/>
        </w:rPr>
        <w:t>)</w:t>
      </w:r>
      <w:r w:rsidR="00D16C87">
        <w:rPr>
          <w:rFonts w:ascii="Times New Roman" w:eastAsia="Times New Roman" w:hAnsi="Times New Roman" w:cs="Times New Roman"/>
          <w:lang w:eastAsia="en-US"/>
        </w:rPr>
        <w:t>.</w:t>
      </w:r>
      <w:r w:rsidRPr="00685E95">
        <w:rPr>
          <w:rFonts w:ascii="Times New Roman" w:eastAsia="Times New Roman" w:hAnsi="Times New Roman" w:cs="Times New Roman"/>
          <w:lang w:eastAsia="en-US"/>
        </w:rPr>
        <w:t xml:space="preserve"> </w:t>
      </w:r>
      <w:r w:rsidR="00D16C87">
        <w:rPr>
          <w:rFonts w:ascii="Times New Roman" w:eastAsia="Times New Roman" w:hAnsi="Times New Roman" w:cs="Times New Roman"/>
          <w:lang w:eastAsia="en-US"/>
        </w:rPr>
        <w:t xml:space="preserve">Hinge epistemology </w:t>
      </w:r>
      <w:r w:rsidR="00627D7C">
        <w:rPr>
          <w:rFonts w:ascii="Times New Roman" w:eastAsia="Times New Roman" w:hAnsi="Times New Roman" w:cs="Times New Roman"/>
          <w:lang w:eastAsia="en-US"/>
        </w:rPr>
        <w:t xml:space="preserve">(HE) </w:t>
      </w:r>
      <w:r w:rsidRPr="00685E95">
        <w:rPr>
          <w:rFonts w:ascii="Times New Roman" w:eastAsia="Times New Roman" w:hAnsi="Times New Roman" w:cs="Times New Roman"/>
          <w:lang w:eastAsia="en-US"/>
        </w:rPr>
        <w:t xml:space="preserve">has garnered increasing attention in recent years and has </w:t>
      </w:r>
      <w:proofErr w:type="gramStart"/>
      <w:r w:rsidRPr="00685E95">
        <w:rPr>
          <w:rFonts w:ascii="Times New Roman" w:eastAsia="Times New Roman" w:hAnsi="Times New Roman" w:cs="Times New Roman"/>
          <w:lang w:eastAsia="en-US"/>
        </w:rPr>
        <w:t>been variously</w:t>
      </w:r>
      <w:proofErr w:type="gramEnd"/>
      <w:r w:rsidRPr="00685E95">
        <w:rPr>
          <w:rFonts w:ascii="Times New Roman" w:eastAsia="Times New Roman" w:hAnsi="Times New Roman" w:cs="Times New Roman"/>
          <w:lang w:eastAsia="en-US"/>
        </w:rPr>
        <w:t xml:space="preserve"> applied to religious epistemology. Central issues under investigation include whether </w:t>
      </w:r>
      <w:r w:rsidR="00627D7C">
        <w:rPr>
          <w:rFonts w:ascii="Times New Roman" w:eastAsia="Times New Roman" w:hAnsi="Times New Roman" w:cs="Times New Roman"/>
          <w:lang w:eastAsia="en-US"/>
        </w:rPr>
        <w:t xml:space="preserve">HE can be used to chart </w:t>
      </w:r>
      <w:r w:rsidRPr="00685E95">
        <w:rPr>
          <w:rFonts w:ascii="Times New Roman" w:eastAsia="Times New Roman" w:hAnsi="Times New Roman" w:cs="Times New Roman"/>
          <w:lang w:eastAsia="en-US"/>
        </w:rPr>
        <w:t xml:space="preserve">a middle path between </w:t>
      </w:r>
      <w:proofErr w:type="spellStart"/>
      <w:r w:rsidRPr="00685E95">
        <w:rPr>
          <w:rFonts w:ascii="Times New Roman" w:eastAsia="Times New Roman" w:hAnsi="Times New Roman" w:cs="Times New Roman"/>
          <w:lang w:eastAsia="en-US"/>
        </w:rPr>
        <w:t>evidentialism</w:t>
      </w:r>
      <w:proofErr w:type="spellEnd"/>
      <w:r w:rsidRPr="00685E95">
        <w:rPr>
          <w:rFonts w:ascii="Times New Roman" w:eastAsia="Times New Roman" w:hAnsi="Times New Roman" w:cs="Times New Roman"/>
          <w:lang w:eastAsia="en-US"/>
        </w:rPr>
        <w:t xml:space="preserve"> and fideism that vindicates the rationality of religious belief</w:t>
      </w:r>
      <w:r w:rsidR="00627D7C">
        <w:rPr>
          <w:rFonts w:ascii="Times New Roman" w:eastAsia="Times New Roman" w:hAnsi="Times New Roman" w:cs="Times New Roman"/>
          <w:lang w:eastAsia="en-US"/>
        </w:rPr>
        <w:t>;</w:t>
      </w:r>
      <w:r w:rsidRPr="00685E95">
        <w:rPr>
          <w:rFonts w:ascii="Times New Roman" w:eastAsia="Times New Roman" w:hAnsi="Times New Roman" w:cs="Times New Roman"/>
          <w:lang w:eastAsia="en-US"/>
        </w:rPr>
        <w:t xml:space="preserve"> the implications of </w:t>
      </w:r>
      <w:r w:rsidR="00627D7C">
        <w:rPr>
          <w:rFonts w:ascii="Times New Roman" w:eastAsia="Times New Roman" w:hAnsi="Times New Roman" w:cs="Times New Roman"/>
          <w:lang w:eastAsia="en-US"/>
        </w:rPr>
        <w:t xml:space="preserve">HE for </w:t>
      </w:r>
      <w:r w:rsidRPr="00685E95">
        <w:rPr>
          <w:rFonts w:ascii="Times New Roman" w:eastAsia="Times New Roman" w:hAnsi="Times New Roman" w:cs="Times New Roman"/>
          <w:lang w:eastAsia="en-US"/>
        </w:rPr>
        <w:t xml:space="preserve">epistemic relativism </w:t>
      </w:r>
      <w:r w:rsidR="00627D7C">
        <w:rPr>
          <w:rFonts w:ascii="Times New Roman" w:eastAsia="Times New Roman" w:hAnsi="Times New Roman" w:cs="Times New Roman"/>
          <w:lang w:eastAsia="en-US"/>
        </w:rPr>
        <w:t>and</w:t>
      </w:r>
      <w:r w:rsidRPr="00685E95">
        <w:rPr>
          <w:rFonts w:ascii="Times New Roman" w:eastAsia="Times New Roman" w:hAnsi="Times New Roman" w:cs="Times New Roman"/>
          <w:lang w:eastAsia="en-US"/>
        </w:rPr>
        <w:t xml:space="preserve"> religious discourse</w:t>
      </w:r>
      <w:r w:rsidR="00627D7C">
        <w:rPr>
          <w:rFonts w:ascii="Times New Roman" w:eastAsia="Times New Roman" w:hAnsi="Times New Roman" w:cs="Times New Roman"/>
          <w:lang w:eastAsia="en-US"/>
        </w:rPr>
        <w:t>;</w:t>
      </w:r>
      <w:r w:rsidRPr="00685E95">
        <w:rPr>
          <w:rFonts w:ascii="Times New Roman" w:eastAsia="Times New Roman" w:hAnsi="Times New Roman" w:cs="Times New Roman"/>
          <w:lang w:eastAsia="en-US"/>
        </w:rPr>
        <w:t xml:space="preserve"> </w:t>
      </w:r>
      <w:r w:rsidR="00627D7C">
        <w:rPr>
          <w:rFonts w:ascii="Times New Roman" w:eastAsia="Times New Roman" w:hAnsi="Times New Roman" w:cs="Times New Roman"/>
          <w:lang w:eastAsia="en-US"/>
        </w:rPr>
        <w:t>as well as</w:t>
      </w:r>
      <w:r w:rsidRPr="00685E95">
        <w:rPr>
          <w:rFonts w:ascii="Times New Roman" w:eastAsia="Times New Roman" w:hAnsi="Times New Roman" w:cs="Times New Roman"/>
          <w:lang w:eastAsia="en-US"/>
        </w:rPr>
        <w:t xml:space="preserve"> the potential connections between Wittgenstein’s views in </w:t>
      </w:r>
      <w:r w:rsidRPr="00685E95">
        <w:rPr>
          <w:rFonts w:ascii="Times New Roman" w:eastAsia="Times New Roman" w:hAnsi="Times New Roman" w:cs="Times New Roman"/>
          <w:i/>
          <w:iCs/>
          <w:lang w:eastAsia="en-US"/>
        </w:rPr>
        <w:t>OC</w:t>
      </w:r>
      <w:r w:rsidRPr="00685E95">
        <w:rPr>
          <w:rFonts w:ascii="Times New Roman" w:eastAsia="Times New Roman" w:hAnsi="Times New Roman" w:cs="Times New Roman"/>
          <w:lang w:eastAsia="en-US"/>
        </w:rPr>
        <w:t xml:space="preserve"> and Cardinal John Henry Newman’s seminal work, </w:t>
      </w:r>
      <w:r w:rsidRPr="00685E95">
        <w:rPr>
          <w:rFonts w:ascii="Times New Roman" w:eastAsia="Times New Roman" w:hAnsi="Times New Roman" w:cs="Times New Roman"/>
          <w:i/>
          <w:iCs/>
          <w:lang w:eastAsia="en-US"/>
        </w:rPr>
        <w:t>An Essay in Aid of a Grammar of Assent</w:t>
      </w:r>
      <w:r w:rsidRPr="00685E95">
        <w:rPr>
          <w:rFonts w:ascii="Times New Roman" w:eastAsia="Times New Roman" w:hAnsi="Times New Roman" w:cs="Times New Roman"/>
          <w:lang w:eastAsia="en-US"/>
        </w:rPr>
        <w:t xml:space="preserve"> (1870).</w:t>
      </w:r>
      <w:r w:rsidR="00D9744A">
        <w:rPr>
          <w:rStyle w:val="FootnoteReference"/>
          <w:rFonts w:ascii="Times New Roman" w:hAnsi="Times New Roman" w:cs="Times New Roman"/>
        </w:rPr>
        <w:footnoteReference w:id="2"/>
      </w:r>
    </w:p>
    <w:p w14:paraId="180EC54C" w14:textId="4C94A20B" w:rsidR="00EA41E3" w:rsidRDefault="00685E95" w:rsidP="00007E5F">
      <w:pPr>
        <w:spacing w:line="360" w:lineRule="auto"/>
        <w:jc w:val="both"/>
        <w:rPr>
          <w:rFonts w:ascii="Times New Roman" w:eastAsia="Times New Roman" w:hAnsi="Times New Roman" w:cs="Times New Roman"/>
          <w:lang w:eastAsia="en-US"/>
        </w:rPr>
      </w:pPr>
      <w:r w:rsidRPr="00685E95">
        <w:rPr>
          <w:rFonts w:ascii="Times New Roman" w:eastAsia="Times New Roman" w:hAnsi="Times New Roman" w:cs="Times New Roman"/>
          <w:lang w:eastAsia="en-US"/>
        </w:rPr>
        <w:t>This chapter seeks to elucidate the nature of religious conflict by applying a hinge-theoretic framework to the issue (§1). The principal advantage of this approach lies in its capacity to offer a more nuanced understanding of religious disagreement and, consequently, to assess whether such conflicts are, at least in principle, amenable to rational resolution.</w:t>
      </w:r>
      <w:r w:rsidR="004807D2">
        <w:rPr>
          <w:rFonts w:ascii="Times New Roman" w:eastAsia="Times New Roman" w:hAnsi="Times New Roman" w:cs="Times New Roman"/>
          <w:lang w:eastAsia="en-US"/>
        </w:rPr>
        <w:t xml:space="preserve"> It also provides a theoretical framework which makes sense </w:t>
      </w:r>
      <w:r w:rsidR="00002EC1">
        <w:rPr>
          <w:rFonts w:ascii="Times New Roman" w:eastAsia="Times New Roman" w:hAnsi="Times New Roman" w:cs="Times New Roman"/>
          <w:lang w:eastAsia="en-US"/>
        </w:rPr>
        <w:t xml:space="preserve">of </w:t>
      </w:r>
      <w:r w:rsidR="004807D2">
        <w:rPr>
          <w:rFonts w:ascii="Times New Roman" w:eastAsia="Times New Roman" w:hAnsi="Times New Roman" w:cs="Times New Roman"/>
          <w:lang w:eastAsia="en-US"/>
        </w:rPr>
        <w:t xml:space="preserve">distinctions – internal </w:t>
      </w:r>
      <w:r w:rsidR="00530354">
        <w:rPr>
          <w:rFonts w:ascii="Times New Roman" w:eastAsia="Times New Roman" w:hAnsi="Times New Roman" w:cs="Times New Roman"/>
          <w:lang w:eastAsia="en-US"/>
        </w:rPr>
        <w:t xml:space="preserve">especially </w:t>
      </w:r>
      <w:r w:rsidR="000C03BB">
        <w:rPr>
          <w:rFonts w:ascii="Times New Roman" w:eastAsia="Times New Roman" w:hAnsi="Times New Roman" w:cs="Times New Roman"/>
          <w:lang w:eastAsia="en-US"/>
        </w:rPr>
        <w:t xml:space="preserve">to the Catholic </w:t>
      </w:r>
      <w:r w:rsidR="00530354">
        <w:rPr>
          <w:rFonts w:ascii="Times New Roman" w:eastAsia="Times New Roman" w:hAnsi="Times New Roman" w:cs="Times New Roman"/>
          <w:lang w:eastAsia="en-US"/>
        </w:rPr>
        <w:t>C</w:t>
      </w:r>
      <w:r w:rsidR="000C03BB">
        <w:rPr>
          <w:rFonts w:ascii="Times New Roman" w:eastAsia="Times New Roman" w:hAnsi="Times New Roman" w:cs="Times New Roman"/>
          <w:lang w:eastAsia="en-US"/>
        </w:rPr>
        <w:t>hurch</w:t>
      </w:r>
      <w:r w:rsidR="00530354">
        <w:rPr>
          <w:rFonts w:ascii="Times New Roman" w:eastAsia="Times New Roman" w:hAnsi="Times New Roman" w:cs="Times New Roman"/>
          <w:lang w:eastAsia="en-US"/>
        </w:rPr>
        <w:t xml:space="preserve"> </w:t>
      </w:r>
      <w:r w:rsidR="000C03BB">
        <w:rPr>
          <w:rFonts w:ascii="Times New Roman" w:eastAsia="Times New Roman" w:hAnsi="Times New Roman" w:cs="Times New Roman"/>
          <w:lang w:eastAsia="en-US"/>
        </w:rPr>
        <w:t>– between dogmas</w:t>
      </w:r>
      <w:r w:rsidR="00530354">
        <w:rPr>
          <w:rFonts w:ascii="Times New Roman" w:eastAsia="Times New Roman" w:hAnsi="Times New Roman" w:cs="Times New Roman"/>
          <w:lang w:eastAsia="en-US"/>
        </w:rPr>
        <w:t xml:space="preserve"> and less fundamental religious beliefs</w:t>
      </w:r>
      <w:r w:rsidR="00595050">
        <w:rPr>
          <w:rFonts w:ascii="Times New Roman" w:eastAsia="Times New Roman" w:hAnsi="Times New Roman" w:cs="Times New Roman"/>
          <w:lang w:eastAsia="en-US"/>
        </w:rPr>
        <w:t xml:space="preserve">, by providing a clear </w:t>
      </w:r>
      <w:r w:rsidR="00007E5F">
        <w:rPr>
          <w:rFonts w:ascii="Times New Roman" w:eastAsia="Times New Roman" w:hAnsi="Times New Roman" w:cs="Times New Roman"/>
          <w:lang w:eastAsia="en-US"/>
        </w:rPr>
        <w:t xml:space="preserve">understanding of their different epistemic status and degree of revisability </w:t>
      </w:r>
      <w:r w:rsidR="00007E5F" w:rsidRPr="00685E95">
        <w:rPr>
          <w:rFonts w:ascii="Times New Roman" w:eastAsia="Times New Roman" w:hAnsi="Times New Roman" w:cs="Times New Roman"/>
          <w:lang w:eastAsia="en-US"/>
        </w:rPr>
        <w:t>(§</w:t>
      </w:r>
      <w:r w:rsidR="00EA41E3">
        <w:rPr>
          <w:rFonts w:ascii="Times New Roman" w:eastAsia="Times New Roman" w:hAnsi="Times New Roman" w:cs="Times New Roman"/>
          <w:lang w:eastAsia="en-US"/>
        </w:rPr>
        <w:t>4</w:t>
      </w:r>
      <w:r w:rsidR="00007E5F" w:rsidRPr="00685E95">
        <w:rPr>
          <w:rFonts w:ascii="Times New Roman" w:eastAsia="Times New Roman" w:hAnsi="Times New Roman" w:cs="Times New Roman"/>
          <w:lang w:eastAsia="en-US"/>
        </w:rPr>
        <w:t>)</w:t>
      </w:r>
      <w:r w:rsidR="00EA41E3">
        <w:rPr>
          <w:rFonts w:ascii="Times New Roman" w:eastAsia="Times New Roman" w:hAnsi="Times New Roman" w:cs="Times New Roman"/>
          <w:lang w:eastAsia="en-US"/>
        </w:rPr>
        <w:t>.</w:t>
      </w:r>
    </w:p>
    <w:p w14:paraId="06CBD5AD" w14:textId="297F69E8" w:rsidR="00CC5417" w:rsidRDefault="00355C57" w:rsidP="00007E5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In more detail, i</w:t>
      </w:r>
      <w:r w:rsidR="00DF71F5" w:rsidRPr="004C777F">
        <w:rPr>
          <w:rFonts w:ascii="Times New Roman" w:eastAsia="Times New Roman" w:hAnsi="Times New Roman" w:cs="Times New Roman"/>
        </w:rPr>
        <w:t xml:space="preserve">t </w:t>
      </w:r>
      <w:r w:rsidR="00AB498F">
        <w:rPr>
          <w:rFonts w:ascii="Times New Roman" w:eastAsia="Times New Roman" w:hAnsi="Times New Roman" w:cs="Times New Roman"/>
        </w:rPr>
        <w:t>is</w:t>
      </w:r>
      <w:r w:rsidR="00DF71F5" w:rsidRPr="004C777F">
        <w:rPr>
          <w:rFonts w:ascii="Times New Roman" w:eastAsia="Times New Roman" w:hAnsi="Times New Roman" w:cs="Times New Roman"/>
        </w:rPr>
        <w:t xml:space="preserve"> argued that, broadly speaking, there are </w:t>
      </w:r>
      <w:r w:rsidR="00D23940">
        <w:rPr>
          <w:rFonts w:ascii="Times New Roman" w:eastAsia="Times New Roman" w:hAnsi="Times New Roman" w:cs="Times New Roman"/>
        </w:rPr>
        <w:t>three</w:t>
      </w:r>
      <w:r w:rsidR="00DF71F5" w:rsidRPr="004C777F">
        <w:rPr>
          <w:rFonts w:ascii="Times New Roman" w:eastAsia="Times New Roman" w:hAnsi="Times New Roman" w:cs="Times New Roman"/>
        </w:rPr>
        <w:t xml:space="preserve"> main kinds of religious conflict</w:t>
      </w:r>
      <w:r w:rsidR="0063352F">
        <w:rPr>
          <w:rFonts w:ascii="Times New Roman" w:eastAsia="Times New Roman" w:hAnsi="Times New Roman" w:cs="Times New Roman"/>
        </w:rPr>
        <w:t xml:space="preserve"> or “disagreem</w:t>
      </w:r>
      <w:r w:rsidR="005A32F0">
        <w:rPr>
          <w:rFonts w:ascii="Times New Roman" w:eastAsia="Times New Roman" w:hAnsi="Times New Roman" w:cs="Times New Roman"/>
        </w:rPr>
        <w:t>ent”</w:t>
      </w:r>
      <w:r w:rsidR="006011E3">
        <w:rPr>
          <w:rFonts w:ascii="Times New Roman" w:eastAsia="Times New Roman" w:hAnsi="Times New Roman" w:cs="Times New Roman"/>
        </w:rPr>
        <w:t>,</w:t>
      </w:r>
      <w:r w:rsidR="005A32F0">
        <w:rPr>
          <w:rFonts w:ascii="Times New Roman" w:eastAsia="Times New Roman" w:hAnsi="Times New Roman" w:cs="Times New Roman"/>
        </w:rPr>
        <w:t xml:space="preserve"> as </w:t>
      </w:r>
      <w:r w:rsidR="00AB498F">
        <w:rPr>
          <w:rFonts w:ascii="Times New Roman" w:eastAsia="Times New Roman" w:hAnsi="Times New Roman" w:cs="Times New Roman"/>
        </w:rPr>
        <w:t>epistemolog</w:t>
      </w:r>
      <w:r w:rsidR="00967B6F">
        <w:rPr>
          <w:rFonts w:ascii="Times New Roman" w:eastAsia="Times New Roman" w:hAnsi="Times New Roman" w:cs="Times New Roman"/>
        </w:rPr>
        <w:t>ists</w:t>
      </w:r>
      <w:r w:rsidR="00AB498F">
        <w:rPr>
          <w:rFonts w:ascii="Times New Roman" w:eastAsia="Times New Roman" w:hAnsi="Times New Roman" w:cs="Times New Roman"/>
        </w:rPr>
        <w:t xml:space="preserve"> prefer to call it</w:t>
      </w:r>
      <w:r w:rsidR="00DF71F5" w:rsidRPr="004C777F">
        <w:rPr>
          <w:rFonts w:ascii="Times New Roman" w:eastAsia="Times New Roman" w:hAnsi="Times New Roman" w:cs="Times New Roman"/>
        </w:rPr>
        <w:t>.</w:t>
      </w:r>
      <w:r w:rsidR="00AB498F">
        <w:rPr>
          <w:rStyle w:val="FootnoteReference"/>
          <w:rFonts w:ascii="Times New Roman" w:eastAsia="Times New Roman" w:hAnsi="Times New Roman" w:cs="Times New Roman"/>
        </w:rPr>
        <w:footnoteReference w:id="3"/>
      </w:r>
      <w:r w:rsidR="00DF71F5" w:rsidRPr="004C777F">
        <w:rPr>
          <w:rFonts w:ascii="Times New Roman" w:eastAsia="Times New Roman" w:hAnsi="Times New Roman" w:cs="Times New Roman"/>
        </w:rPr>
        <w:t xml:space="preserve"> One kind of conflict is </w:t>
      </w:r>
      <w:r w:rsidR="007F193C">
        <w:rPr>
          <w:rFonts w:ascii="Times New Roman" w:eastAsia="Times New Roman" w:hAnsi="Times New Roman" w:cs="Times New Roman"/>
        </w:rPr>
        <w:t>“</w:t>
      </w:r>
      <w:r w:rsidR="00DF71F5" w:rsidRPr="004C777F">
        <w:rPr>
          <w:rFonts w:ascii="Times New Roman" w:eastAsia="Times New Roman" w:hAnsi="Times New Roman" w:cs="Times New Roman"/>
        </w:rPr>
        <w:t>internal</w:t>
      </w:r>
      <w:r w:rsidR="007F193C">
        <w:rPr>
          <w:rFonts w:ascii="Times New Roman" w:eastAsia="Times New Roman" w:hAnsi="Times New Roman" w:cs="Times New Roman"/>
        </w:rPr>
        <w:t>”</w:t>
      </w:r>
      <w:r w:rsidR="00DF71F5" w:rsidRPr="004C777F">
        <w:rPr>
          <w:rFonts w:ascii="Times New Roman" w:eastAsia="Times New Roman" w:hAnsi="Times New Roman" w:cs="Times New Roman"/>
        </w:rPr>
        <w:t xml:space="preserve"> to the theistic perspective, regarding for instance the nature of God, </w:t>
      </w:r>
      <w:r w:rsidR="00BF6DB3">
        <w:rPr>
          <w:rFonts w:ascii="Times New Roman" w:eastAsia="Times New Roman" w:hAnsi="Times New Roman" w:cs="Times New Roman"/>
        </w:rPr>
        <w:t xml:space="preserve">religious </w:t>
      </w:r>
      <w:r w:rsidR="00DF71F5" w:rsidRPr="004C777F">
        <w:rPr>
          <w:rFonts w:ascii="Times New Roman" w:eastAsia="Times New Roman" w:hAnsi="Times New Roman" w:cs="Times New Roman"/>
        </w:rPr>
        <w:t xml:space="preserve">dogmas, etc. In this kind of conflict, the </w:t>
      </w:r>
      <w:r w:rsidR="007F193C">
        <w:rPr>
          <w:rFonts w:ascii="Times New Roman" w:eastAsia="Times New Roman" w:hAnsi="Times New Roman" w:cs="Times New Roman"/>
        </w:rPr>
        <w:t>“</w:t>
      </w:r>
      <w:r w:rsidR="00DF71F5" w:rsidRPr="004C777F">
        <w:rPr>
          <w:rFonts w:ascii="Times New Roman" w:eastAsia="Times New Roman" w:hAnsi="Times New Roman" w:cs="Times New Roman"/>
        </w:rPr>
        <w:t>hinge</w:t>
      </w:r>
      <w:r w:rsidR="007F193C">
        <w:rPr>
          <w:rFonts w:ascii="Times New Roman" w:eastAsia="Times New Roman" w:hAnsi="Times New Roman" w:cs="Times New Roman"/>
        </w:rPr>
        <w:t>”</w:t>
      </w:r>
      <w:r w:rsidR="00DF71F5" w:rsidRPr="004C777F">
        <w:rPr>
          <w:rFonts w:ascii="Times New Roman" w:eastAsia="Times New Roman" w:hAnsi="Times New Roman" w:cs="Times New Roman"/>
        </w:rPr>
        <w:t xml:space="preserve"> proposition</w:t>
      </w:r>
      <w:r w:rsidR="007F193C">
        <w:rPr>
          <w:rFonts w:ascii="Times New Roman" w:eastAsia="Times New Roman" w:hAnsi="Times New Roman" w:cs="Times New Roman"/>
        </w:rPr>
        <w:t xml:space="preserve"> “</w:t>
      </w:r>
      <w:r w:rsidR="00DF71F5" w:rsidRPr="004C777F">
        <w:rPr>
          <w:rFonts w:ascii="Times New Roman" w:eastAsia="Times New Roman" w:hAnsi="Times New Roman" w:cs="Times New Roman"/>
        </w:rPr>
        <w:t>God exists</w:t>
      </w:r>
      <w:r w:rsidR="007F193C">
        <w:rPr>
          <w:rFonts w:ascii="Times New Roman" w:eastAsia="Times New Roman" w:hAnsi="Times New Roman" w:cs="Times New Roman"/>
        </w:rPr>
        <w:t>”</w:t>
      </w:r>
      <w:r w:rsidR="00DF71F5" w:rsidRPr="004C777F">
        <w:rPr>
          <w:rFonts w:ascii="Times New Roman" w:eastAsia="Times New Roman" w:hAnsi="Times New Roman" w:cs="Times New Roman"/>
        </w:rPr>
        <w:t xml:space="preserve"> is shared by participants to the dispute. </w:t>
      </w:r>
      <w:r w:rsidR="00B96529">
        <w:rPr>
          <w:rFonts w:ascii="Times New Roman" w:eastAsia="Times New Roman" w:hAnsi="Times New Roman" w:cs="Times New Roman"/>
        </w:rPr>
        <w:t xml:space="preserve">Furthermore, the conflict is internal to a religion that recognizes the same source of normative authority, like, for instance, the Bible. </w:t>
      </w:r>
      <w:r w:rsidR="00DF71F5" w:rsidRPr="004C777F">
        <w:rPr>
          <w:rFonts w:ascii="Times New Roman" w:eastAsia="Times New Roman" w:hAnsi="Times New Roman" w:cs="Times New Roman"/>
        </w:rPr>
        <w:t>In this case the solution may</w:t>
      </w:r>
      <w:r w:rsidR="007F193C">
        <w:rPr>
          <w:rFonts w:ascii="Times New Roman" w:eastAsia="Times New Roman" w:hAnsi="Times New Roman" w:cs="Times New Roman"/>
        </w:rPr>
        <w:t xml:space="preserve"> </w:t>
      </w:r>
      <w:r w:rsidR="00DF71F5" w:rsidRPr="004C777F">
        <w:rPr>
          <w:rFonts w:ascii="Times New Roman" w:eastAsia="Times New Roman" w:hAnsi="Times New Roman" w:cs="Times New Roman"/>
        </w:rPr>
        <w:t>advert</w:t>
      </w:r>
      <w:r w:rsidR="007F193C">
        <w:rPr>
          <w:rFonts w:ascii="Times New Roman" w:eastAsia="Times New Roman" w:hAnsi="Times New Roman" w:cs="Times New Roman"/>
        </w:rPr>
        <w:t xml:space="preserve"> </w:t>
      </w:r>
      <w:r w:rsidR="00DF71F5" w:rsidRPr="004C777F">
        <w:rPr>
          <w:rFonts w:ascii="Times New Roman" w:eastAsia="Times New Roman" w:hAnsi="Times New Roman" w:cs="Times New Roman"/>
        </w:rPr>
        <w:t>to</w:t>
      </w:r>
      <w:r w:rsidR="007F193C">
        <w:rPr>
          <w:rFonts w:ascii="Times New Roman" w:eastAsia="Times New Roman" w:hAnsi="Times New Roman" w:cs="Times New Roman"/>
        </w:rPr>
        <w:t xml:space="preserve"> </w:t>
      </w:r>
      <w:r w:rsidR="00DF71F5" w:rsidRPr="004C777F">
        <w:rPr>
          <w:rFonts w:ascii="Times New Roman" w:eastAsia="Times New Roman" w:hAnsi="Times New Roman" w:cs="Times New Roman"/>
        </w:rPr>
        <w:t>epistemic reasons, at least in principle</w:t>
      </w:r>
      <w:r w:rsidR="00CC5417">
        <w:rPr>
          <w:rFonts w:ascii="Times New Roman" w:eastAsia="Times New Roman" w:hAnsi="Times New Roman" w:cs="Times New Roman"/>
        </w:rPr>
        <w:t xml:space="preserve"> (§2.1)</w:t>
      </w:r>
      <w:r w:rsidR="00DF71F5" w:rsidRPr="004C777F">
        <w:rPr>
          <w:rFonts w:ascii="Times New Roman" w:eastAsia="Times New Roman" w:hAnsi="Times New Roman" w:cs="Times New Roman"/>
        </w:rPr>
        <w:t xml:space="preserve">. </w:t>
      </w:r>
    </w:p>
    <w:p w14:paraId="0E7D31BC" w14:textId="770D40D5" w:rsidR="00DF71F5" w:rsidRDefault="00C62540" w:rsidP="00DF71F5">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However, there is a deeper kind of disagreement, in which the hinge proposition “God exists” is</w:t>
      </w:r>
      <w:r w:rsidR="00CC5417">
        <w:rPr>
          <w:rFonts w:ascii="Times New Roman" w:eastAsia="Times New Roman" w:hAnsi="Times New Roman" w:cs="Times New Roman"/>
        </w:rPr>
        <w:t>n’t</w:t>
      </w:r>
      <w:r>
        <w:rPr>
          <w:rFonts w:ascii="Times New Roman" w:eastAsia="Times New Roman" w:hAnsi="Times New Roman" w:cs="Times New Roman"/>
        </w:rPr>
        <w:t xml:space="preserve"> shared. This is the disagreement</w:t>
      </w:r>
      <w:r w:rsidR="00DF71F5" w:rsidRPr="004C777F">
        <w:rPr>
          <w:rFonts w:ascii="Times New Roman" w:eastAsia="Times New Roman" w:hAnsi="Times New Roman" w:cs="Times New Roman"/>
        </w:rPr>
        <w:t xml:space="preserve"> between believers</w:t>
      </w:r>
      <w:r w:rsidR="00F6382A">
        <w:rPr>
          <w:rFonts w:ascii="Times New Roman" w:eastAsia="Times New Roman" w:hAnsi="Times New Roman" w:cs="Times New Roman"/>
        </w:rPr>
        <w:t xml:space="preserve"> </w:t>
      </w:r>
      <w:r w:rsidR="00DF71F5" w:rsidRPr="004C777F">
        <w:rPr>
          <w:rFonts w:ascii="Times New Roman" w:eastAsia="Times New Roman" w:hAnsi="Times New Roman" w:cs="Times New Roman"/>
        </w:rPr>
        <w:t>and non-believers, who do not share a theistic perspective, and therefore take opposite stances with respect to the hinge proposition “God exists”</w:t>
      </w:r>
      <w:r>
        <w:rPr>
          <w:rFonts w:ascii="Times New Roman" w:eastAsia="Times New Roman" w:hAnsi="Times New Roman" w:cs="Times New Roman"/>
        </w:rPr>
        <w:t>.</w:t>
      </w:r>
      <w:r w:rsidR="00915776">
        <w:rPr>
          <w:rFonts w:ascii="Times New Roman" w:eastAsia="Times New Roman" w:hAnsi="Times New Roman" w:cs="Times New Roman"/>
        </w:rPr>
        <w:t xml:space="preserve"> In this case, the disagreement</w:t>
      </w:r>
      <w:r w:rsidR="00DF71F5" w:rsidRPr="004C777F">
        <w:rPr>
          <w:rFonts w:ascii="Times New Roman" w:eastAsia="Times New Roman" w:hAnsi="Times New Roman" w:cs="Times New Roman"/>
        </w:rPr>
        <w:t xml:space="preserve"> cannot be resolved by adverting to epistemic reasons, not even in principle. For the kind of evidence appealed to by the believer </w:t>
      </w:r>
      <w:r w:rsidR="00F6382A">
        <w:rPr>
          <w:rFonts w:ascii="Times New Roman" w:eastAsia="Times New Roman" w:hAnsi="Times New Roman" w:cs="Times New Roman"/>
        </w:rPr>
        <w:t>–</w:t>
      </w:r>
      <w:r w:rsidR="00DF71F5" w:rsidRPr="004C777F">
        <w:rPr>
          <w:rFonts w:ascii="Times New Roman" w:eastAsia="Times New Roman" w:hAnsi="Times New Roman" w:cs="Times New Roman"/>
        </w:rPr>
        <w:t xml:space="preserve"> whether testimonial, </w:t>
      </w:r>
      <w:r w:rsidR="00DF71F5" w:rsidRPr="00A43A8B">
        <w:rPr>
          <w:rFonts w:ascii="Times New Roman" w:eastAsia="Times New Roman" w:hAnsi="Times New Roman" w:cs="Times New Roman"/>
        </w:rPr>
        <w:t>a priori,</w:t>
      </w:r>
      <w:r w:rsidR="00DF71F5" w:rsidRPr="004C777F">
        <w:rPr>
          <w:rFonts w:ascii="Times New Roman" w:eastAsia="Times New Roman" w:hAnsi="Times New Roman" w:cs="Times New Roman"/>
        </w:rPr>
        <w:t xml:space="preserve"> or </w:t>
      </w:r>
      <w:r w:rsidR="00B352FD">
        <w:rPr>
          <w:rFonts w:ascii="Times New Roman" w:eastAsia="Times New Roman" w:hAnsi="Times New Roman" w:cs="Times New Roman"/>
        </w:rPr>
        <w:t>‘</w:t>
      </w:r>
      <w:r w:rsidR="00DF71F5" w:rsidRPr="004C777F">
        <w:rPr>
          <w:rFonts w:ascii="Times New Roman" w:eastAsia="Times New Roman" w:hAnsi="Times New Roman" w:cs="Times New Roman"/>
        </w:rPr>
        <w:t>of the heart</w:t>
      </w:r>
      <w:r w:rsidR="00B352FD">
        <w:rPr>
          <w:rFonts w:ascii="Times New Roman" w:eastAsia="Times New Roman" w:hAnsi="Times New Roman" w:cs="Times New Roman"/>
        </w:rPr>
        <w:t>’</w:t>
      </w:r>
      <w:r w:rsidR="00DF71F5" w:rsidRPr="004C777F">
        <w:rPr>
          <w:rFonts w:ascii="Times New Roman" w:eastAsia="Times New Roman" w:hAnsi="Times New Roman" w:cs="Times New Roman"/>
        </w:rPr>
        <w:t xml:space="preserve"> </w:t>
      </w:r>
      <w:r w:rsidR="00F6382A">
        <w:rPr>
          <w:rFonts w:ascii="Times New Roman" w:eastAsia="Times New Roman" w:hAnsi="Times New Roman" w:cs="Times New Roman"/>
        </w:rPr>
        <w:t>–</w:t>
      </w:r>
      <w:r w:rsidR="00DF71F5" w:rsidRPr="004C777F">
        <w:rPr>
          <w:rFonts w:ascii="Times New Roman" w:eastAsia="Times New Roman" w:hAnsi="Times New Roman" w:cs="Times New Roman"/>
        </w:rPr>
        <w:t xml:space="preserve"> will be deemed question-begging by the non-believer</w:t>
      </w:r>
      <w:r w:rsidR="00C54BEE">
        <w:rPr>
          <w:rFonts w:ascii="Times New Roman" w:eastAsia="Times New Roman" w:hAnsi="Times New Roman" w:cs="Times New Roman"/>
        </w:rPr>
        <w:t xml:space="preserve"> (and vice versa)</w:t>
      </w:r>
      <w:r w:rsidR="00DF71F5" w:rsidRPr="004C777F">
        <w:rPr>
          <w:rFonts w:ascii="Times New Roman" w:eastAsia="Times New Roman" w:hAnsi="Times New Roman" w:cs="Times New Roman"/>
        </w:rPr>
        <w:t>. If this is the case, then there is an insurmountable ‘gulf’ between the believer and the non-believer</w:t>
      </w:r>
      <w:r w:rsidR="00FE199A">
        <w:rPr>
          <w:rFonts w:ascii="Times New Roman" w:eastAsia="Times New Roman" w:hAnsi="Times New Roman" w:cs="Times New Roman"/>
        </w:rPr>
        <w:t>.</w:t>
      </w:r>
      <w:r w:rsidR="00DF71F5" w:rsidRPr="004C777F">
        <w:rPr>
          <w:rFonts w:ascii="Times New Roman" w:eastAsia="Times New Roman" w:hAnsi="Times New Roman" w:cs="Times New Roman"/>
        </w:rPr>
        <w:t xml:space="preserve"> </w:t>
      </w:r>
      <w:r w:rsidR="00FE199A">
        <w:rPr>
          <w:rFonts w:ascii="Times New Roman" w:eastAsia="Times New Roman" w:hAnsi="Times New Roman" w:cs="Times New Roman"/>
        </w:rPr>
        <w:t>T</w:t>
      </w:r>
      <w:r w:rsidR="00DF71F5" w:rsidRPr="004C777F">
        <w:rPr>
          <w:rFonts w:ascii="Times New Roman" w:eastAsia="Times New Roman" w:hAnsi="Times New Roman" w:cs="Times New Roman"/>
        </w:rPr>
        <w:t xml:space="preserve">heir perspectives turn out to be mutually alternative and such that only a </w:t>
      </w:r>
      <w:r w:rsidR="00DF71F5" w:rsidRPr="00FE199A">
        <w:rPr>
          <w:rFonts w:ascii="Times New Roman" w:eastAsia="Times New Roman" w:hAnsi="Times New Roman" w:cs="Times New Roman"/>
          <w:i/>
          <w:iCs/>
        </w:rPr>
        <w:t>conversion</w:t>
      </w:r>
      <w:r w:rsidR="00DF71F5" w:rsidRPr="004C777F">
        <w:rPr>
          <w:rFonts w:ascii="Times New Roman" w:eastAsia="Times New Roman" w:hAnsi="Times New Roman" w:cs="Times New Roman"/>
        </w:rPr>
        <w:t xml:space="preserve"> </w:t>
      </w:r>
      <w:r w:rsidR="00B352FD">
        <w:rPr>
          <w:rFonts w:ascii="Times New Roman" w:eastAsia="Times New Roman" w:hAnsi="Times New Roman" w:cs="Times New Roman"/>
        </w:rPr>
        <w:t>–</w:t>
      </w:r>
      <w:r w:rsidR="00DF71F5" w:rsidRPr="004C777F">
        <w:rPr>
          <w:rFonts w:ascii="Times New Roman" w:eastAsia="Times New Roman" w:hAnsi="Times New Roman" w:cs="Times New Roman"/>
        </w:rPr>
        <w:t xml:space="preserve"> understood as a ‘change of heart’ that makes one look at things differently </w:t>
      </w:r>
      <w:r w:rsidR="00B352FD">
        <w:rPr>
          <w:rFonts w:ascii="Times New Roman" w:eastAsia="Times New Roman" w:hAnsi="Times New Roman" w:cs="Times New Roman"/>
        </w:rPr>
        <w:t>–</w:t>
      </w:r>
      <w:r w:rsidR="00DF71F5" w:rsidRPr="004C777F">
        <w:rPr>
          <w:rFonts w:ascii="Times New Roman" w:eastAsia="Times New Roman" w:hAnsi="Times New Roman" w:cs="Times New Roman"/>
        </w:rPr>
        <w:t xml:space="preserve"> could not so much as resolve but dissolve the initial </w:t>
      </w:r>
      <w:r w:rsidR="00915776">
        <w:rPr>
          <w:rFonts w:ascii="Times New Roman" w:eastAsia="Times New Roman" w:hAnsi="Times New Roman" w:cs="Times New Roman"/>
        </w:rPr>
        <w:t>disagreement (§</w:t>
      </w:r>
      <w:r w:rsidR="00CC5417">
        <w:rPr>
          <w:rFonts w:ascii="Times New Roman" w:eastAsia="Times New Roman" w:hAnsi="Times New Roman" w:cs="Times New Roman"/>
        </w:rPr>
        <w:t>2.2</w:t>
      </w:r>
      <w:r w:rsidR="00915776">
        <w:rPr>
          <w:rFonts w:ascii="Times New Roman" w:eastAsia="Times New Roman" w:hAnsi="Times New Roman" w:cs="Times New Roman"/>
        </w:rPr>
        <w:t>)</w:t>
      </w:r>
      <w:r w:rsidR="00DF71F5" w:rsidRPr="004C777F">
        <w:rPr>
          <w:rFonts w:ascii="Times New Roman" w:eastAsia="Times New Roman" w:hAnsi="Times New Roman" w:cs="Times New Roman"/>
        </w:rPr>
        <w:t>.</w:t>
      </w:r>
    </w:p>
    <w:p w14:paraId="2446BFFE" w14:textId="440592A9" w:rsidR="00CC5417" w:rsidRDefault="00CC5417" w:rsidP="00DF71F5">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Inter-religious disagreement, in contrast, is neither </w:t>
      </w:r>
      <w:r w:rsidR="004E4A02">
        <w:rPr>
          <w:rFonts w:ascii="Times New Roman" w:eastAsia="Times New Roman" w:hAnsi="Times New Roman" w:cs="Times New Roman"/>
        </w:rPr>
        <w:t xml:space="preserve">of the first nor of the second kind, at least in most cases. For the hinge “God exists” is </w:t>
      </w:r>
      <w:r w:rsidR="00D42478">
        <w:rPr>
          <w:rFonts w:ascii="Times New Roman" w:eastAsia="Times New Roman" w:hAnsi="Times New Roman" w:cs="Times New Roman"/>
        </w:rPr>
        <w:t xml:space="preserve">typically </w:t>
      </w:r>
      <w:r w:rsidR="004E4A02">
        <w:rPr>
          <w:rFonts w:ascii="Times New Roman" w:eastAsia="Times New Roman" w:hAnsi="Times New Roman" w:cs="Times New Roman"/>
        </w:rPr>
        <w:t xml:space="preserve">common to the parties to the dispute, yet they disagree </w:t>
      </w:r>
      <w:r w:rsidR="00527937">
        <w:rPr>
          <w:rFonts w:ascii="Times New Roman" w:eastAsia="Times New Roman" w:hAnsi="Times New Roman" w:cs="Times New Roman"/>
        </w:rPr>
        <w:t>about</w:t>
      </w:r>
      <w:r w:rsidR="004E4A02">
        <w:rPr>
          <w:rFonts w:ascii="Times New Roman" w:eastAsia="Times New Roman" w:hAnsi="Times New Roman" w:cs="Times New Roman"/>
        </w:rPr>
        <w:t xml:space="preserve"> </w:t>
      </w:r>
      <w:r w:rsidR="000B75E7">
        <w:rPr>
          <w:rFonts w:ascii="Times New Roman" w:eastAsia="Times New Roman" w:hAnsi="Times New Roman" w:cs="Times New Roman"/>
        </w:rPr>
        <w:t>other hinge propositions</w:t>
      </w:r>
      <w:r w:rsidR="00527937">
        <w:rPr>
          <w:rFonts w:ascii="Times New Roman" w:eastAsia="Times New Roman" w:hAnsi="Times New Roman" w:cs="Times New Roman"/>
        </w:rPr>
        <w:t>, and ultimately about t</w:t>
      </w:r>
      <w:r w:rsidR="004E4A02">
        <w:rPr>
          <w:rFonts w:ascii="Times New Roman" w:eastAsia="Times New Roman" w:hAnsi="Times New Roman" w:cs="Times New Roman"/>
        </w:rPr>
        <w:t>he source of normative authority</w:t>
      </w:r>
      <w:r w:rsidR="008E6567">
        <w:rPr>
          <w:rFonts w:ascii="Times New Roman" w:eastAsia="Times New Roman" w:hAnsi="Times New Roman" w:cs="Times New Roman"/>
        </w:rPr>
        <w:t xml:space="preserve"> – e.</w:t>
      </w:r>
      <w:r w:rsidR="000719F6">
        <w:rPr>
          <w:rFonts w:ascii="Times New Roman" w:eastAsia="Times New Roman" w:hAnsi="Times New Roman" w:cs="Times New Roman"/>
        </w:rPr>
        <w:t>g.</w:t>
      </w:r>
      <w:r w:rsidR="000F6CA2">
        <w:rPr>
          <w:rFonts w:ascii="Times New Roman" w:eastAsia="Times New Roman" w:hAnsi="Times New Roman" w:cs="Times New Roman"/>
        </w:rPr>
        <w:t xml:space="preserve">, </w:t>
      </w:r>
      <w:r w:rsidR="00CB46DC" w:rsidRPr="004C777F">
        <w:rPr>
          <w:rFonts w:ascii="Times New Roman" w:eastAsia="Times New Roman" w:hAnsi="Times New Roman" w:cs="Times New Roman"/>
        </w:rPr>
        <w:t xml:space="preserve">the Bible </w:t>
      </w:r>
      <w:r w:rsidR="000719F6">
        <w:rPr>
          <w:rFonts w:ascii="Times New Roman" w:eastAsia="Times New Roman" w:hAnsi="Times New Roman" w:cs="Times New Roman"/>
        </w:rPr>
        <w:t>or</w:t>
      </w:r>
      <w:r w:rsidR="00DF12E0">
        <w:rPr>
          <w:rFonts w:ascii="Times New Roman" w:eastAsia="Times New Roman" w:hAnsi="Times New Roman" w:cs="Times New Roman"/>
        </w:rPr>
        <w:t xml:space="preserve"> </w:t>
      </w:r>
      <w:r w:rsidR="00CB46DC" w:rsidRPr="004C777F">
        <w:rPr>
          <w:rFonts w:ascii="Times New Roman" w:eastAsia="Times New Roman" w:hAnsi="Times New Roman" w:cs="Times New Roman"/>
        </w:rPr>
        <w:t>the Qur’an</w:t>
      </w:r>
      <w:r w:rsidR="000719F6">
        <w:rPr>
          <w:rFonts w:ascii="Times New Roman" w:eastAsia="Times New Roman" w:hAnsi="Times New Roman" w:cs="Times New Roman"/>
        </w:rPr>
        <w:t>, in disputes between Christians and Muslims</w:t>
      </w:r>
      <w:r w:rsidR="00CB46DC" w:rsidRPr="004C777F">
        <w:rPr>
          <w:rFonts w:ascii="Times New Roman" w:eastAsia="Times New Roman" w:hAnsi="Times New Roman" w:cs="Times New Roman"/>
        </w:rPr>
        <w:t xml:space="preserve">. The question then is </w:t>
      </w:r>
      <w:r w:rsidR="00582FC7">
        <w:rPr>
          <w:rFonts w:ascii="Times New Roman" w:eastAsia="Times New Roman" w:hAnsi="Times New Roman" w:cs="Times New Roman"/>
        </w:rPr>
        <w:t xml:space="preserve">how to subsume this case under a hinge-theoretic framework and </w:t>
      </w:r>
      <w:r w:rsidR="00CB46DC" w:rsidRPr="004C777F">
        <w:rPr>
          <w:rFonts w:ascii="Times New Roman" w:eastAsia="Times New Roman" w:hAnsi="Times New Roman" w:cs="Times New Roman"/>
        </w:rPr>
        <w:t xml:space="preserve">whether there are non-question-begging and non-circular </w:t>
      </w:r>
      <w:r w:rsidR="00CB46DC" w:rsidRPr="00E70639">
        <w:rPr>
          <w:rFonts w:ascii="Times New Roman" w:eastAsia="Times New Roman" w:hAnsi="Times New Roman" w:cs="Times New Roman"/>
          <w:i/>
          <w:iCs/>
        </w:rPr>
        <w:t>epistemic</w:t>
      </w:r>
      <w:r w:rsidR="00CB46DC">
        <w:rPr>
          <w:rFonts w:ascii="Times New Roman" w:eastAsia="Times New Roman" w:hAnsi="Times New Roman" w:cs="Times New Roman"/>
        </w:rPr>
        <w:t xml:space="preserve"> </w:t>
      </w:r>
      <w:r w:rsidR="00CB46DC" w:rsidRPr="004C777F">
        <w:rPr>
          <w:rFonts w:ascii="Times New Roman" w:eastAsia="Times New Roman" w:hAnsi="Times New Roman" w:cs="Times New Roman"/>
        </w:rPr>
        <w:t xml:space="preserve">reasons to accord authority to one </w:t>
      </w:r>
      <w:r w:rsidR="000719F6">
        <w:rPr>
          <w:rFonts w:ascii="Times New Roman" w:eastAsia="Times New Roman" w:hAnsi="Times New Roman" w:cs="Times New Roman"/>
        </w:rPr>
        <w:t>normative</w:t>
      </w:r>
      <w:r w:rsidR="00CB46DC" w:rsidRPr="004C777F">
        <w:rPr>
          <w:rFonts w:ascii="Times New Roman" w:eastAsia="Times New Roman" w:hAnsi="Times New Roman" w:cs="Times New Roman"/>
        </w:rPr>
        <w:t xml:space="preserve"> source over the other</w:t>
      </w:r>
      <w:r w:rsidR="00CB46DC">
        <w:rPr>
          <w:rFonts w:ascii="Times New Roman" w:eastAsia="Times New Roman" w:hAnsi="Times New Roman" w:cs="Times New Roman"/>
        </w:rPr>
        <w:t xml:space="preserve"> (§2</w:t>
      </w:r>
      <w:r w:rsidR="00DF12E0">
        <w:rPr>
          <w:rFonts w:ascii="Times New Roman" w:eastAsia="Times New Roman" w:hAnsi="Times New Roman" w:cs="Times New Roman"/>
        </w:rPr>
        <w:t>.3</w:t>
      </w:r>
      <w:r w:rsidR="00CB46DC">
        <w:rPr>
          <w:rFonts w:ascii="Times New Roman" w:eastAsia="Times New Roman" w:hAnsi="Times New Roman" w:cs="Times New Roman"/>
        </w:rPr>
        <w:t>)</w:t>
      </w:r>
      <w:r w:rsidR="00CB46DC" w:rsidRPr="004C777F">
        <w:rPr>
          <w:rFonts w:ascii="Times New Roman" w:eastAsia="Times New Roman" w:hAnsi="Times New Roman" w:cs="Times New Roman"/>
        </w:rPr>
        <w:t>.</w:t>
      </w:r>
      <w:r w:rsidR="00E70639">
        <w:rPr>
          <w:rStyle w:val="FootnoteReference"/>
          <w:rFonts w:ascii="Times New Roman" w:eastAsia="Times New Roman" w:hAnsi="Times New Roman" w:cs="Times New Roman"/>
        </w:rPr>
        <w:footnoteReference w:id="4"/>
      </w:r>
    </w:p>
    <w:p w14:paraId="361A0A92" w14:textId="7B6A96DD" w:rsidR="00686851" w:rsidRDefault="00686851" w:rsidP="00DF71F5">
      <w:p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In closing, a hinge-epistemology framework is brought to bear on </w:t>
      </w:r>
      <w:r w:rsidR="00BD4AF0">
        <w:rPr>
          <w:rFonts w:ascii="Times New Roman" w:eastAsia="Times New Roman" w:hAnsi="Times New Roman" w:cs="Times New Roman"/>
        </w:rPr>
        <w:t xml:space="preserve">several inter-related topics. Namely, the role of conversion and of tradition in the transmission of </w:t>
      </w:r>
      <w:r w:rsidR="004C74E0">
        <w:rPr>
          <w:rFonts w:ascii="Times New Roman" w:eastAsia="Times New Roman" w:hAnsi="Times New Roman" w:cs="Times New Roman"/>
        </w:rPr>
        <w:t>religion (§3)</w:t>
      </w:r>
      <w:r w:rsidR="00FF5C56">
        <w:rPr>
          <w:rFonts w:ascii="Times New Roman" w:eastAsia="Times New Roman" w:hAnsi="Times New Roman" w:cs="Times New Roman"/>
        </w:rPr>
        <w:t>, as well as the attitude characteristic of</w:t>
      </w:r>
      <w:r w:rsidR="004C74E0">
        <w:rPr>
          <w:rFonts w:ascii="Times New Roman" w:eastAsia="Times New Roman" w:hAnsi="Times New Roman" w:cs="Times New Roman"/>
        </w:rPr>
        <w:t xml:space="preserve"> </w:t>
      </w:r>
      <w:r w:rsidR="00246527">
        <w:rPr>
          <w:rFonts w:ascii="Times New Roman" w:eastAsia="Times New Roman" w:hAnsi="Times New Roman" w:cs="Times New Roman"/>
        </w:rPr>
        <w:t>religious faith</w:t>
      </w:r>
      <w:r w:rsidR="00FF5C56">
        <w:rPr>
          <w:rFonts w:ascii="Times New Roman" w:eastAsia="Times New Roman" w:hAnsi="Times New Roman" w:cs="Times New Roman"/>
        </w:rPr>
        <w:t xml:space="preserve"> with respect to dogmas and</w:t>
      </w:r>
      <w:r w:rsidR="00246527">
        <w:rPr>
          <w:rFonts w:ascii="Times New Roman" w:eastAsia="Times New Roman" w:hAnsi="Times New Roman" w:cs="Times New Roman"/>
        </w:rPr>
        <w:t xml:space="preserve"> </w:t>
      </w:r>
      <w:r w:rsidR="00FF5C56">
        <w:rPr>
          <w:rFonts w:ascii="Times New Roman" w:eastAsia="Times New Roman" w:hAnsi="Times New Roman" w:cs="Times New Roman"/>
        </w:rPr>
        <w:t xml:space="preserve">its difference with </w:t>
      </w:r>
      <w:r w:rsidR="002D55AE">
        <w:rPr>
          <w:rFonts w:ascii="Times New Roman" w:eastAsia="Times New Roman" w:hAnsi="Times New Roman" w:cs="Times New Roman"/>
        </w:rPr>
        <w:t xml:space="preserve">“ordinary” </w:t>
      </w:r>
      <w:r w:rsidR="00FF5C56">
        <w:rPr>
          <w:rFonts w:ascii="Times New Roman" w:eastAsia="Times New Roman" w:hAnsi="Times New Roman" w:cs="Times New Roman"/>
        </w:rPr>
        <w:t>religious belief</w:t>
      </w:r>
      <w:r w:rsidR="00246527">
        <w:rPr>
          <w:rFonts w:ascii="Times New Roman" w:eastAsia="Times New Roman" w:hAnsi="Times New Roman" w:cs="Times New Roman"/>
        </w:rPr>
        <w:t xml:space="preserve"> (§4).</w:t>
      </w:r>
    </w:p>
    <w:p w14:paraId="4C10727E" w14:textId="77777777" w:rsidR="0051365E" w:rsidRPr="004C777F" w:rsidRDefault="0051365E" w:rsidP="00DF71F5">
      <w:pPr>
        <w:pBdr>
          <w:top w:val="nil"/>
          <w:left w:val="nil"/>
          <w:bottom w:val="nil"/>
          <w:right w:val="nil"/>
          <w:between w:val="nil"/>
        </w:pBdr>
        <w:spacing w:after="0" w:line="360" w:lineRule="auto"/>
        <w:jc w:val="both"/>
        <w:rPr>
          <w:rFonts w:ascii="Times New Roman" w:eastAsia="Times New Roman" w:hAnsi="Times New Roman" w:cs="Times New Roman"/>
        </w:rPr>
      </w:pPr>
    </w:p>
    <w:p w14:paraId="172FD3D9" w14:textId="55B5C840" w:rsidR="00B35CB1" w:rsidRPr="00D0785F" w:rsidRDefault="003C0F3A" w:rsidP="00D11855">
      <w:pPr>
        <w:pStyle w:val="ListParagraph"/>
        <w:numPr>
          <w:ilvl w:val="0"/>
          <w:numId w:val="1"/>
        </w:numPr>
        <w:spacing w:before="360" w:after="120" w:line="360" w:lineRule="auto"/>
        <w:jc w:val="both"/>
        <w:rPr>
          <w:rFonts w:ascii="Times New Roman" w:hAnsi="Times New Roman" w:cs="Times New Roman"/>
          <w:b/>
          <w:bCs/>
        </w:rPr>
      </w:pPr>
      <w:r w:rsidRPr="00D0785F">
        <w:rPr>
          <w:rFonts w:ascii="Times New Roman" w:hAnsi="Times New Roman" w:cs="Times New Roman"/>
          <w:b/>
          <w:bCs/>
        </w:rPr>
        <w:t>The hinge-theoretic framework and its bearing onto religious disagreement</w:t>
      </w:r>
    </w:p>
    <w:p w14:paraId="2182B8DB" w14:textId="4A7DA51F" w:rsidR="00EC7088" w:rsidRPr="00934789" w:rsidRDefault="00D9744A" w:rsidP="00803923">
      <w:pPr>
        <w:spacing w:after="120" w:line="36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As mentioned, the hinge-theoretic framework</w:t>
      </w:r>
      <w:r w:rsidR="00ED4861" w:rsidRPr="00ED4861">
        <w:rPr>
          <w:rFonts w:ascii="Times New Roman" w:eastAsia="Times New Roman" w:hAnsi="Times New Roman" w:cs="Times New Roman"/>
          <w:lang w:eastAsia="en-US"/>
        </w:rPr>
        <w:t xml:space="preserve"> has been increasingly applied to the study of religious belief, particularly in exploring its nature and epistemic rationality</w:t>
      </w:r>
      <w:r w:rsidR="00EC7088">
        <w:rPr>
          <w:rFonts w:ascii="Times New Roman" w:hAnsi="Times New Roman" w:cs="Times New Roman"/>
        </w:rPr>
        <w:t>.</w:t>
      </w:r>
      <w:r w:rsidR="005B4172">
        <w:rPr>
          <w:rFonts w:ascii="Times New Roman" w:hAnsi="Times New Roman" w:cs="Times New Roman"/>
        </w:rPr>
        <w:t xml:space="preserve"> Before delving into its extension to religious conflict, let us dwell on its main tenets.</w:t>
      </w:r>
    </w:p>
    <w:p w14:paraId="491A58A2" w14:textId="07ED7CA2" w:rsidR="00C73999" w:rsidRPr="00C73999" w:rsidRDefault="00C73999" w:rsidP="00245CB4">
      <w:pPr>
        <w:pStyle w:val="ListParagraph"/>
        <w:numPr>
          <w:ilvl w:val="1"/>
          <w:numId w:val="1"/>
        </w:numPr>
        <w:spacing w:before="240" w:after="120" w:line="360" w:lineRule="auto"/>
        <w:ind w:left="778" w:hanging="418"/>
        <w:jc w:val="both"/>
        <w:rPr>
          <w:rFonts w:ascii="Times New Roman" w:hAnsi="Times New Roman" w:cs="Times New Roman"/>
          <w:i/>
          <w:iCs/>
        </w:rPr>
      </w:pPr>
      <w:r w:rsidRPr="00FF1EF0">
        <w:rPr>
          <w:rFonts w:ascii="Times New Roman" w:hAnsi="Times New Roman" w:cs="Times New Roman"/>
          <w:i/>
          <w:iCs/>
        </w:rPr>
        <w:t>The hinge-epistemology framework and the “parity argument”</w:t>
      </w:r>
    </w:p>
    <w:p w14:paraId="4845FF52" w14:textId="452AABBB" w:rsidR="00CF7069" w:rsidRPr="00245CB4" w:rsidRDefault="005C0E3D" w:rsidP="00245CB4">
      <w:pPr>
        <w:spacing w:after="120" w:line="360" w:lineRule="auto"/>
        <w:jc w:val="both"/>
        <w:rPr>
          <w:rFonts w:ascii="Times New Roman" w:hAnsi="Times New Roman" w:cs="Times New Roman"/>
        </w:rPr>
      </w:pPr>
      <w:r>
        <w:rPr>
          <w:rFonts w:ascii="Times New Roman" w:hAnsi="Times New Roman" w:cs="Times New Roman"/>
        </w:rPr>
        <w:t>The</w:t>
      </w:r>
      <w:r w:rsidR="00CF7069" w:rsidRPr="00245CB4">
        <w:rPr>
          <w:rFonts w:ascii="Times New Roman" w:hAnsi="Times New Roman" w:cs="Times New Roman"/>
        </w:rPr>
        <w:t xml:space="preserve"> central theme of OC is the idea that </w:t>
      </w:r>
      <w:r w:rsidR="002E5085">
        <w:rPr>
          <w:rFonts w:ascii="Times New Roman" w:hAnsi="Times New Roman" w:cs="Times New Roman"/>
        </w:rPr>
        <w:t>epistemic</w:t>
      </w:r>
      <w:r w:rsidR="00CF7069" w:rsidRPr="00245CB4">
        <w:rPr>
          <w:rFonts w:ascii="Times New Roman" w:hAnsi="Times New Roman" w:cs="Times New Roman"/>
        </w:rPr>
        <w:t xml:space="preserve"> evaluation </w:t>
      </w:r>
      <w:r w:rsidR="00803EED">
        <w:rPr>
          <w:rFonts w:ascii="Times New Roman" w:hAnsi="Times New Roman" w:cs="Times New Roman"/>
        </w:rPr>
        <w:t xml:space="preserve">– </w:t>
      </w:r>
      <w:r w:rsidR="002E5085">
        <w:rPr>
          <w:rFonts w:ascii="Times New Roman" w:hAnsi="Times New Roman" w:cs="Times New Roman"/>
        </w:rPr>
        <w:t xml:space="preserve">that is, any evaluation with respect to whether a proposition is true or false, </w:t>
      </w:r>
      <w:r w:rsidR="003A137C">
        <w:rPr>
          <w:rFonts w:ascii="Times New Roman" w:hAnsi="Times New Roman" w:cs="Times New Roman"/>
        </w:rPr>
        <w:t>or</w:t>
      </w:r>
      <w:r w:rsidR="00202E9D">
        <w:rPr>
          <w:rFonts w:ascii="Times New Roman" w:hAnsi="Times New Roman" w:cs="Times New Roman"/>
        </w:rPr>
        <w:t xml:space="preserve"> to </w:t>
      </w:r>
      <w:r w:rsidR="002E5085">
        <w:rPr>
          <w:rFonts w:ascii="Times New Roman" w:hAnsi="Times New Roman" w:cs="Times New Roman"/>
        </w:rPr>
        <w:t>whether</w:t>
      </w:r>
      <w:r w:rsidR="00202E9D">
        <w:rPr>
          <w:rFonts w:ascii="Times New Roman" w:hAnsi="Times New Roman" w:cs="Times New Roman"/>
        </w:rPr>
        <w:t>,</w:t>
      </w:r>
      <w:r w:rsidR="002E5085">
        <w:rPr>
          <w:rFonts w:ascii="Times New Roman" w:hAnsi="Times New Roman" w:cs="Times New Roman"/>
        </w:rPr>
        <w:t xml:space="preserve"> </w:t>
      </w:r>
      <w:r w:rsidR="008C303B">
        <w:rPr>
          <w:rFonts w:ascii="Times New Roman" w:hAnsi="Times New Roman" w:cs="Times New Roman"/>
        </w:rPr>
        <w:t>when believed</w:t>
      </w:r>
      <w:r w:rsidR="00202E9D">
        <w:rPr>
          <w:rFonts w:ascii="Times New Roman" w:hAnsi="Times New Roman" w:cs="Times New Roman"/>
        </w:rPr>
        <w:t>,</w:t>
      </w:r>
      <w:r w:rsidR="008C303B">
        <w:rPr>
          <w:rFonts w:ascii="Times New Roman" w:hAnsi="Times New Roman" w:cs="Times New Roman"/>
        </w:rPr>
        <w:t xml:space="preserve"> it is epistemically justified, or unjustified, and </w:t>
      </w:r>
      <w:r w:rsidR="00202E9D">
        <w:rPr>
          <w:rFonts w:ascii="Times New Roman" w:hAnsi="Times New Roman" w:cs="Times New Roman"/>
        </w:rPr>
        <w:t>even</w:t>
      </w:r>
      <w:r w:rsidR="008C303B">
        <w:rPr>
          <w:rFonts w:ascii="Times New Roman" w:hAnsi="Times New Roman" w:cs="Times New Roman"/>
        </w:rPr>
        <w:t xml:space="preserve"> known or not known –</w:t>
      </w:r>
      <w:r w:rsidR="00803EED">
        <w:rPr>
          <w:rFonts w:ascii="Times New Roman" w:hAnsi="Times New Roman" w:cs="Times New Roman"/>
        </w:rPr>
        <w:t xml:space="preserve"> </w:t>
      </w:r>
      <w:r w:rsidR="00CF7069" w:rsidRPr="00245CB4">
        <w:rPr>
          <w:rFonts w:ascii="Times New Roman" w:hAnsi="Times New Roman" w:cs="Times New Roman"/>
        </w:rPr>
        <w:t xml:space="preserve">is essentially </w:t>
      </w:r>
      <w:proofErr w:type="gramStart"/>
      <w:r w:rsidR="00CF7069" w:rsidRPr="00202E9D">
        <w:rPr>
          <w:rFonts w:ascii="Times New Roman" w:hAnsi="Times New Roman" w:cs="Times New Roman"/>
          <w:i/>
          <w:iCs/>
        </w:rPr>
        <w:t>local</w:t>
      </w:r>
      <w:r w:rsidR="0084158B">
        <w:rPr>
          <w:rFonts w:ascii="Times New Roman" w:hAnsi="Times New Roman" w:cs="Times New Roman"/>
        </w:rPr>
        <w:t>, or</w:t>
      </w:r>
      <w:proofErr w:type="gramEnd"/>
      <w:r w:rsidR="0084158B">
        <w:rPr>
          <w:rFonts w:ascii="Times New Roman" w:hAnsi="Times New Roman" w:cs="Times New Roman"/>
        </w:rPr>
        <w:t xml:space="preserve"> </w:t>
      </w:r>
      <w:r w:rsidR="0084158B" w:rsidRPr="0084158B">
        <w:rPr>
          <w:rFonts w:ascii="Times New Roman" w:hAnsi="Times New Roman" w:cs="Times New Roman"/>
          <w:i/>
          <w:iCs/>
        </w:rPr>
        <w:t>situated</w:t>
      </w:r>
      <w:r w:rsidR="0084158B">
        <w:rPr>
          <w:rFonts w:ascii="Times New Roman" w:hAnsi="Times New Roman" w:cs="Times New Roman"/>
        </w:rPr>
        <w:t>.</w:t>
      </w:r>
      <w:r w:rsidR="00CF7069" w:rsidRPr="00245CB4">
        <w:rPr>
          <w:rFonts w:ascii="Times New Roman" w:hAnsi="Times New Roman" w:cs="Times New Roman"/>
        </w:rPr>
        <w:t xml:space="preserve"> That is, any </w:t>
      </w:r>
      <w:r w:rsidR="000C6899">
        <w:rPr>
          <w:rFonts w:ascii="Times New Roman" w:hAnsi="Times New Roman" w:cs="Times New Roman"/>
        </w:rPr>
        <w:t>epistemic</w:t>
      </w:r>
      <w:r w:rsidR="00CF7069" w:rsidRPr="00245CB4">
        <w:rPr>
          <w:rFonts w:ascii="Times New Roman" w:hAnsi="Times New Roman" w:cs="Times New Roman"/>
        </w:rPr>
        <w:t xml:space="preserve"> evaluation proceeds by taking for granted certain presuppositions, which are not themselves justifiable or known (to the extent that knowledge requires justification) yet are exempt from doubt.</w:t>
      </w:r>
      <w:r w:rsidR="000C6899">
        <w:rPr>
          <w:rStyle w:val="FootnoteReference"/>
          <w:rFonts w:ascii="Times New Roman" w:hAnsi="Times New Roman" w:cs="Times New Roman"/>
        </w:rPr>
        <w:footnoteReference w:id="5"/>
      </w:r>
      <w:r w:rsidR="00CF7069" w:rsidRPr="00245CB4">
        <w:rPr>
          <w:rFonts w:ascii="Times New Roman" w:hAnsi="Times New Roman" w:cs="Times New Roman"/>
        </w:rPr>
        <w:t xml:space="preserve"> As Wittgenstein famously put it (OC 341-343):</w:t>
      </w:r>
    </w:p>
    <w:p w14:paraId="4060C92D" w14:textId="77777777" w:rsidR="00CF7069" w:rsidRPr="00245CB4" w:rsidRDefault="00CF7069" w:rsidP="00245CB4">
      <w:pPr>
        <w:pStyle w:val="ListParagraph"/>
        <w:spacing w:after="120" w:line="360" w:lineRule="auto"/>
        <w:jc w:val="both"/>
        <w:rPr>
          <w:rFonts w:ascii="Times New Roman" w:hAnsi="Times New Roman" w:cs="Times New Roman"/>
        </w:rPr>
      </w:pPr>
      <w:r w:rsidRPr="00245CB4">
        <w:rPr>
          <w:rFonts w:ascii="Times New Roman" w:hAnsi="Times New Roman" w:cs="Times New Roman"/>
        </w:rPr>
        <w:t xml:space="preserve">The questions that we </w:t>
      </w:r>
      <w:proofErr w:type="gramStart"/>
      <w:r w:rsidRPr="00245CB4">
        <w:rPr>
          <w:rFonts w:ascii="Times New Roman" w:hAnsi="Times New Roman" w:cs="Times New Roman"/>
        </w:rPr>
        <w:t>raise</w:t>
      </w:r>
      <w:proofErr w:type="gramEnd"/>
      <w:r w:rsidRPr="00245CB4">
        <w:rPr>
          <w:rFonts w:ascii="Times New Roman" w:hAnsi="Times New Roman" w:cs="Times New Roman"/>
        </w:rPr>
        <w:t xml:space="preserve"> and our doubts depend on the fact that some propositions are exempt from doubt, are as it were like hinges on which those turn. </w:t>
      </w:r>
    </w:p>
    <w:p w14:paraId="5C129BC3" w14:textId="77777777" w:rsidR="00CF7069" w:rsidRPr="00245CB4" w:rsidRDefault="00CF7069" w:rsidP="00245CB4">
      <w:pPr>
        <w:pStyle w:val="ListParagraph"/>
        <w:spacing w:after="120" w:line="360" w:lineRule="auto"/>
        <w:jc w:val="both"/>
        <w:rPr>
          <w:rFonts w:ascii="Times New Roman" w:hAnsi="Times New Roman" w:cs="Times New Roman"/>
        </w:rPr>
      </w:pPr>
      <w:proofErr w:type="gramStart"/>
      <w:r w:rsidRPr="00245CB4">
        <w:rPr>
          <w:rFonts w:ascii="Times New Roman" w:hAnsi="Times New Roman" w:cs="Times New Roman"/>
        </w:rPr>
        <w:t>That is to say, it</w:t>
      </w:r>
      <w:proofErr w:type="gramEnd"/>
      <w:r w:rsidRPr="00245CB4">
        <w:rPr>
          <w:rFonts w:ascii="Times New Roman" w:hAnsi="Times New Roman" w:cs="Times New Roman"/>
        </w:rPr>
        <w:t xml:space="preserve"> belongs to the logic of our scientific investigations that certain things are </w:t>
      </w:r>
      <w:proofErr w:type="spellStart"/>
      <w:proofErr w:type="gramStart"/>
      <w:r w:rsidRPr="00245CB4">
        <w:rPr>
          <w:rFonts w:ascii="Times New Roman" w:hAnsi="Times New Roman" w:cs="Times New Roman"/>
        </w:rPr>
        <w:t>in deed</w:t>
      </w:r>
      <w:proofErr w:type="spellEnd"/>
      <w:proofErr w:type="gramEnd"/>
      <w:r w:rsidRPr="00245CB4">
        <w:rPr>
          <w:rFonts w:ascii="Times New Roman" w:hAnsi="Times New Roman" w:cs="Times New Roman"/>
        </w:rPr>
        <w:t xml:space="preserve"> not doubted.</w:t>
      </w:r>
    </w:p>
    <w:p w14:paraId="50EE6E91" w14:textId="77777777" w:rsidR="00CF7069" w:rsidRPr="00245CB4" w:rsidRDefault="00CF7069" w:rsidP="00245CB4">
      <w:pPr>
        <w:pStyle w:val="ListParagraph"/>
        <w:spacing w:after="120" w:line="360" w:lineRule="auto"/>
        <w:jc w:val="both"/>
        <w:rPr>
          <w:rFonts w:ascii="Times New Roman" w:hAnsi="Times New Roman" w:cs="Times New Roman"/>
        </w:rPr>
      </w:pPr>
      <w:r w:rsidRPr="00245CB4">
        <w:rPr>
          <w:rFonts w:ascii="Times New Roman" w:hAnsi="Times New Roman" w:cs="Times New Roman"/>
        </w:rPr>
        <w:lastRenderedPageBreak/>
        <w:t>But it isn’t that the situation is like this: We just can’t investigate everything, and for that reason we are forced to rest content with assumption. If I want the door to turn, the hinges must stay put.</w:t>
      </w:r>
    </w:p>
    <w:p w14:paraId="66148BA3" w14:textId="5DAEA0EE" w:rsidR="00CF7069" w:rsidRPr="00286C79" w:rsidRDefault="00CF7069" w:rsidP="00286C79">
      <w:pPr>
        <w:spacing w:after="120" w:line="360" w:lineRule="auto"/>
        <w:jc w:val="both"/>
        <w:rPr>
          <w:rFonts w:ascii="Times New Roman" w:hAnsi="Times New Roman" w:cs="Times New Roman"/>
        </w:rPr>
      </w:pPr>
      <w:r w:rsidRPr="00286C79">
        <w:rPr>
          <w:rFonts w:ascii="Times New Roman" w:hAnsi="Times New Roman" w:cs="Times New Roman"/>
        </w:rPr>
        <w:t xml:space="preserve">The idea that all empirical inquiries depend on taking for granted some propositions which, while looking like empirical ones, are in fact exempt from investigation, and can be likened to “hinges”, which must stay put in order for ordinary empirical propositions to be justified or rationally doubted, </w:t>
      </w:r>
      <w:r w:rsidR="00286C79">
        <w:rPr>
          <w:rFonts w:ascii="Times New Roman" w:hAnsi="Times New Roman" w:cs="Times New Roman"/>
        </w:rPr>
        <w:t>in turn</w:t>
      </w:r>
      <w:r w:rsidRPr="00286C79">
        <w:rPr>
          <w:rFonts w:ascii="Times New Roman" w:hAnsi="Times New Roman" w:cs="Times New Roman"/>
        </w:rPr>
        <w:t xml:space="preserve"> echoes </w:t>
      </w:r>
      <w:r w:rsidR="00286C79">
        <w:rPr>
          <w:rFonts w:ascii="Times New Roman" w:hAnsi="Times New Roman" w:cs="Times New Roman"/>
        </w:rPr>
        <w:t xml:space="preserve">Cardinal John Henry </w:t>
      </w:r>
      <w:r w:rsidRPr="00286C79">
        <w:rPr>
          <w:rFonts w:ascii="Times New Roman" w:hAnsi="Times New Roman" w:cs="Times New Roman"/>
        </w:rPr>
        <w:t xml:space="preserve">Newman’s </w:t>
      </w:r>
      <w:r w:rsidR="009B39FC">
        <w:rPr>
          <w:rFonts w:ascii="Times New Roman" w:hAnsi="Times New Roman" w:cs="Times New Roman"/>
        </w:rPr>
        <w:t xml:space="preserve">(1870) </w:t>
      </w:r>
      <w:r w:rsidRPr="00286C79">
        <w:rPr>
          <w:rFonts w:ascii="Times New Roman" w:hAnsi="Times New Roman" w:cs="Times New Roman"/>
        </w:rPr>
        <w:t>claim</w:t>
      </w:r>
      <w:r w:rsidR="00286C79">
        <w:rPr>
          <w:rFonts w:ascii="Times New Roman" w:hAnsi="Times New Roman" w:cs="Times New Roman"/>
        </w:rPr>
        <w:t xml:space="preserve">, in his masterpiece </w:t>
      </w:r>
      <w:r w:rsidR="00286C79" w:rsidRPr="009B39FC">
        <w:rPr>
          <w:rFonts w:ascii="Times New Roman" w:hAnsi="Times New Roman" w:cs="Times New Roman"/>
          <w:i/>
          <w:iCs/>
        </w:rPr>
        <w:t>An Essay in Aid of the Grammar of Assent</w:t>
      </w:r>
      <w:r w:rsidRPr="00286C79">
        <w:rPr>
          <w:rFonts w:ascii="Times New Roman" w:hAnsi="Times New Roman" w:cs="Times New Roman"/>
        </w:rPr>
        <w:t xml:space="preserve"> that “none of us can think or act without the acceptance of truths, not intuitive, not demonstrated, yet sovereign” (</w:t>
      </w:r>
      <w:r w:rsidR="009B39FC">
        <w:rPr>
          <w:rFonts w:ascii="Times New Roman" w:hAnsi="Times New Roman" w:cs="Times New Roman"/>
        </w:rPr>
        <w:t>1870</w:t>
      </w:r>
      <w:r w:rsidRPr="00286C79">
        <w:rPr>
          <w:rFonts w:ascii="Times New Roman" w:hAnsi="Times New Roman" w:cs="Times New Roman"/>
        </w:rPr>
        <w:t>: 141).</w:t>
      </w:r>
    </w:p>
    <w:p w14:paraId="011CE4FC" w14:textId="20E3F4E5" w:rsidR="003C0F3A" w:rsidRDefault="00F171B4" w:rsidP="00245CB4">
      <w:pPr>
        <w:spacing w:after="120" w:line="360" w:lineRule="auto"/>
        <w:jc w:val="both"/>
        <w:rPr>
          <w:rFonts w:ascii="Times New Roman" w:hAnsi="Times New Roman" w:cs="Times New Roman"/>
        </w:rPr>
      </w:pPr>
      <w:r>
        <w:rPr>
          <w:rFonts w:ascii="Times New Roman" w:hAnsi="Times New Roman" w:cs="Times New Roman"/>
        </w:rPr>
        <w:t xml:space="preserve">Much ink has been spilled over the issue of the </w:t>
      </w:r>
      <w:r w:rsidR="00825BEA">
        <w:rPr>
          <w:rFonts w:ascii="Times New Roman" w:hAnsi="Times New Roman" w:cs="Times New Roman"/>
        </w:rPr>
        <w:t>epistemic status</w:t>
      </w:r>
      <w:r>
        <w:rPr>
          <w:rFonts w:ascii="Times New Roman" w:hAnsi="Times New Roman" w:cs="Times New Roman"/>
        </w:rPr>
        <w:t xml:space="preserve"> of hinges themselves, with different </w:t>
      </w:r>
      <w:r w:rsidR="00877441">
        <w:rPr>
          <w:rFonts w:ascii="Times New Roman" w:hAnsi="Times New Roman" w:cs="Times New Roman"/>
        </w:rPr>
        <w:t>hinge epistemologists holding different views;</w:t>
      </w:r>
      <w:r w:rsidR="00243EE3">
        <w:rPr>
          <w:rStyle w:val="FootnoteReference"/>
          <w:rFonts w:ascii="Times New Roman" w:hAnsi="Times New Roman" w:cs="Times New Roman"/>
        </w:rPr>
        <w:footnoteReference w:id="6"/>
      </w:r>
      <w:r w:rsidR="00877441">
        <w:rPr>
          <w:rFonts w:ascii="Times New Roman" w:hAnsi="Times New Roman" w:cs="Times New Roman"/>
        </w:rPr>
        <w:t xml:space="preserve"> as well as over the issue of whether </w:t>
      </w:r>
      <w:r w:rsidR="007B18E2">
        <w:rPr>
          <w:rFonts w:ascii="Times New Roman" w:hAnsi="Times New Roman" w:cs="Times New Roman"/>
        </w:rPr>
        <w:t>there is room for a “parity argument” between religious and non-religious discourse</w:t>
      </w:r>
      <w:r w:rsidR="0033001A">
        <w:rPr>
          <w:rFonts w:ascii="Times New Roman" w:hAnsi="Times New Roman" w:cs="Times New Roman"/>
        </w:rPr>
        <w:t xml:space="preserve">, to the effect that both would turn out to be </w:t>
      </w:r>
      <w:r w:rsidR="008F47EC">
        <w:rPr>
          <w:rFonts w:ascii="Times New Roman" w:hAnsi="Times New Roman" w:cs="Times New Roman"/>
        </w:rPr>
        <w:t xml:space="preserve">epistemically </w:t>
      </w:r>
      <w:r w:rsidR="0033001A">
        <w:rPr>
          <w:rFonts w:ascii="Times New Roman" w:hAnsi="Times New Roman" w:cs="Times New Roman"/>
        </w:rPr>
        <w:t>rational thanks to hinges that, as such, are neither justified nor unjustified (if not altoge</w:t>
      </w:r>
      <w:r w:rsidR="009455C1">
        <w:rPr>
          <w:rFonts w:ascii="Times New Roman" w:hAnsi="Times New Roman" w:cs="Times New Roman"/>
        </w:rPr>
        <w:t>ther a-rational – that is, beyond any kind of rational evaluation)</w:t>
      </w:r>
      <w:r w:rsidR="00B04F09">
        <w:rPr>
          <w:rFonts w:ascii="Times New Roman" w:hAnsi="Times New Roman" w:cs="Times New Roman"/>
        </w:rPr>
        <w:t>, and yet capable of conferring justification – once coupled with the appropriate kind of evidence – to “ordinary” empirical or religious beliefs.</w:t>
      </w:r>
      <w:r w:rsidR="00AB5600">
        <w:rPr>
          <w:rStyle w:val="FootnoteReference"/>
          <w:rFonts w:ascii="Times New Roman" w:hAnsi="Times New Roman" w:cs="Times New Roman"/>
        </w:rPr>
        <w:footnoteReference w:id="7"/>
      </w:r>
      <w:r w:rsidR="000536DC">
        <w:rPr>
          <w:rFonts w:ascii="Times New Roman" w:hAnsi="Times New Roman" w:cs="Times New Roman"/>
        </w:rPr>
        <w:t xml:space="preserve"> </w:t>
      </w:r>
    </w:p>
    <w:p w14:paraId="4991AADB" w14:textId="3220D4BB" w:rsidR="000536DC" w:rsidRDefault="000536DC" w:rsidP="00245CB4">
      <w:pPr>
        <w:spacing w:after="120" w:line="360" w:lineRule="auto"/>
        <w:jc w:val="both"/>
        <w:rPr>
          <w:rFonts w:ascii="Times New Roman" w:hAnsi="Times New Roman" w:cs="Times New Roman"/>
        </w:rPr>
      </w:pPr>
      <w:r>
        <w:rPr>
          <w:rFonts w:ascii="Times New Roman" w:hAnsi="Times New Roman" w:cs="Times New Roman"/>
        </w:rPr>
        <w:t>To exemplify</w:t>
      </w:r>
      <w:r w:rsidR="00D9351C">
        <w:rPr>
          <w:rFonts w:ascii="Times New Roman" w:hAnsi="Times New Roman" w:cs="Times New Roman"/>
        </w:rPr>
        <w:t xml:space="preserve">, </w:t>
      </w:r>
      <w:r w:rsidR="003434BD">
        <w:rPr>
          <w:rFonts w:ascii="Times New Roman" w:hAnsi="Times New Roman" w:cs="Times New Roman"/>
        </w:rPr>
        <w:t>just as</w:t>
      </w:r>
      <w:r w:rsidR="00D9351C">
        <w:rPr>
          <w:rFonts w:ascii="Times New Roman" w:hAnsi="Times New Roman" w:cs="Times New Roman"/>
        </w:rPr>
        <w:t xml:space="preserve"> it is rational to believe that there is laptop in front of me only thanks to </w:t>
      </w:r>
      <w:r w:rsidR="00E754F7">
        <w:rPr>
          <w:rFonts w:ascii="Times New Roman" w:hAnsi="Times New Roman" w:cs="Times New Roman"/>
        </w:rPr>
        <w:t>my current perceptual – and therefore</w:t>
      </w:r>
      <w:r w:rsidR="00AF632E">
        <w:rPr>
          <w:rFonts w:ascii="Times New Roman" w:hAnsi="Times New Roman" w:cs="Times New Roman"/>
        </w:rPr>
        <w:t xml:space="preserve">, </w:t>
      </w:r>
      <w:r w:rsidR="00AF632E" w:rsidRPr="00AF632E">
        <w:rPr>
          <w:rFonts w:ascii="Times New Roman" w:hAnsi="Times New Roman" w:cs="Times New Roman"/>
          <w:i/>
          <w:iCs/>
        </w:rPr>
        <w:t>mind-dependent</w:t>
      </w:r>
      <w:r w:rsidR="00AF632E">
        <w:rPr>
          <w:rFonts w:ascii="Times New Roman" w:hAnsi="Times New Roman" w:cs="Times New Roman"/>
        </w:rPr>
        <w:t xml:space="preserve"> – evidence and </w:t>
      </w:r>
      <w:r w:rsidR="00C42323">
        <w:rPr>
          <w:rFonts w:ascii="Times New Roman" w:hAnsi="Times New Roman" w:cs="Times New Roman"/>
        </w:rPr>
        <w:t>thanks to</w:t>
      </w:r>
      <w:r w:rsidR="00AF632E">
        <w:rPr>
          <w:rFonts w:ascii="Times New Roman" w:hAnsi="Times New Roman" w:cs="Times New Roman"/>
        </w:rPr>
        <w:t xml:space="preserve"> </w:t>
      </w:r>
      <w:r w:rsidR="00D9351C">
        <w:rPr>
          <w:rFonts w:ascii="Times New Roman" w:hAnsi="Times New Roman" w:cs="Times New Roman"/>
        </w:rPr>
        <w:t xml:space="preserve">taking for granted </w:t>
      </w:r>
      <w:r w:rsidR="007E3F09">
        <w:rPr>
          <w:rFonts w:ascii="Times New Roman" w:hAnsi="Times New Roman" w:cs="Times New Roman"/>
        </w:rPr>
        <w:t xml:space="preserve">the “hinge” </w:t>
      </w:r>
      <w:r w:rsidR="00D9351C">
        <w:rPr>
          <w:rFonts w:ascii="Times New Roman" w:hAnsi="Times New Roman" w:cs="Times New Roman"/>
        </w:rPr>
        <w:t xml:space="preserve">that there are physical objects – which </w:t>
      </w:r>
      <w:r w:rsidR="00AF632E">
        <w:rPr>
          <w:rFonts w:ascii="Times New Roman" w:hAnsi="Times New Roman" w:cs="Times New Roman"/>
        </w:rPr>
        <w:t xml:space="preserve">are </w:t>
      </w:r>
      <w:r w:rsidR="00AF632E" w:rsidRPr="00C42323">
        <w:rPr>
          <w:rFonts w:ascii="Times New Roman" w:hAnsi="Times New Roman" w:cs="Times New Roman"/>
          <w:i/>
          <w:iCs/>
        </w:rPr>
        <w:t>mind-independent</w:t>
      </w:r>
      <w:r w:rsidR="00AF632E">
        <w:rPr>
          <w:rFonts w:ascii="Times New Roman" w:hAnsi="Times New Roman" w:cs="Times New Roman"/>
        </w:rPr>
        <w:t xml:space="preserve"> </w:t>
      </w:r>
      <w:r w:rsidR="003D7188">
        <w:rPr>
          <w:rFonts w:ascii="Times New Roman" w:hAnsi="Times New Roman" w:cs="Times New Roman"/>
        </w:rPr>
        <w:t xml:space="preserve">entities </w:t>
      </w:r>
      <w:r w:rsidR="00C42323">
        <w:rPr>
          <w:rFonts w:ascii="Times New Roman" w:hAnsi="Times New Roman" w:cs="Times New Roman"/>
        </w:rPr>
        <w:t>and exist even if unperceived</w:t>
      </w:r>
      <w:r w:rsidR="00D9351C">
        <w:rPr>
          <w:rFonts w:ascii="Times New Roman" w:hAnsi="Times New Roman" w:cs="Times New Roman"/>
        </w:rPr>
        <w:t xml:space="preserve"> </w:t>
      </w:r>
      <w:r w:rsidR="003434BD">
        <w:rPr>
          <w:rFonts w:ascii="Times New Roman" w:hAnsi="Times New Roman" w:cs="Times New Roman"/>
        </w:rPr>
        <w:t>–,</w:t>
      </w:r>
      <w:r w:rsidR="0098140D">
        <w:rPr>
          <w:rStyle w:val="FootnoteReference"/>
          <w:rFonts w:ascii="Times New Roman" w:hAnsi="Times New Roman" w:cs="Times New Roman"/>
        </w:rPr>
        <w:footnoteReference w:id="8"/>
      </w:r>
      <w:r w:rsidR="003434BD">
        <w:rPr>
          <w:rFonts w:ascii="Times New Roman" w:hAnsi="Times New Roman" w:cs="Times New Roman"/>
        </w:rPr>
        <w:t xml:space="preserve"> so it is rational to believe that Jesus </w:t>
      </w:r>
      <w:r w:rsidR="00B771D7">
        <w:rPr>
          <w:rFonts w:ascii="Times New Roman" w:hAnsi="Times New Roman" w:cs="Times New Roman"/>
        </w:rPr>
        <w:t xml:space="preserve">Christ </w:t>
      </w:r>
      <w:r w:rsidR="003434BD">
        <w:rPr>
          <w:rFonts w:ascii="Times New Roman" w:hAnsi="Times New Roman" w:cs="Times New Roman"/>
        </w:rPr>
        <w:t xml:space="preserve">is </w:t>
      </w:r>
      <w:r w:rsidR="00432B71">
        <w:rPr>
          <w:rFonts w:ascii="Times New Roman" w:hAnsi="Times New Roman" w:cs="Times New Roman"/>
        </w:rPr>
        <w:t xml:space="preserve">God’s son only thanks to Biblical evidence, together with taking for granted </w:t>
      </w:r>
      <w:r w:rsidR="007E3F09">
        <w:rPr>
          <w:rFonts w:ascii="Times New Roman" w:hAnsi="Times New Roman" w:cs="Times New Roman"/>
        </w:rPr>
        <w:t xml:space="preserve">the “hinge” </w:t>
      </w:r>
      <w:r w:rsidR="00432B71">
        <w:rPr>
          <w:rFonts w:ascii="Times New Roman" w:hAnsi="Times New Roman" w:cs="Times New Roman"/>
        </w:rPr>
        <w:t>that God exists</w:t>
      </w:r>
      <w:r w:rsidR="007E3F09">
        <w:rPr>
          <w:rFonts w:ascii="Times New Roman" w:hAnsi="Times New Roman" w:cs="Times New Roman"/>
        </w:rPr>
        <w:t>.</w:t>
      </w:r>
      <w:r w:rsidR="000B51EF">
        <w:rPr>
          <w:rFonts w:ascii="Times New Roman" w:hAnsi="Times New Roman" w:cs="Times New Roman"/>
        </w:rPr>
        <w:t xml:space="preserve"> </w:t>
      </w:r>
      <w:r w:rsidR="00A8301B">
        <w:rPr>
          <w:rFonts w:ascii="Times New Roman" w:hAnsi="Times New Roman" w:cs="Times New Roman"/>
        </w:rPr>
        <w:t>For</w:t>
      </w:r>
      <w:r w:rsidR="009627F7">
        <w:rPr>
          <w:rFonts w:ascii="Times New Roman" w:hAnsi="Times New Roman" w:cs="Times New Roman"/>
        </w:rPr>
        <w:t xml:space="preserve"> it is only by taking for granted that God exists that one can </w:t>
      </w:r>
      <w:r w:rsidR="006E4AFE">
        <w:rPr>
          <w:rFonts w:ascii="Times New Roman" w:hAnsi="Times New Roman" w:cs="Times New Roman"/>
        </w:rPr>
        <w:t>consider</w:t>
      </w:r>
      <w:r w:rsidR="009627F7">
        <w:rPr>
          <w:rFonts w:ascii="Times New Roman" w:hAnsi="Times New Roman" w:cs="Times New Roman"/>
        </w:rPr>
        <w:t xml:space="preserve"> the</w:t>
      </w:r>
      <w:r w:rsidR="004B2ED1">
        <w:rPr>
          <w:rFonts w:ascii="Times New Roman" w:hAnsi="Times New Roman" w:cs="Times New Roman"/>
        </w:rPr>
        <w:t xml:space="preserve"> Bible authoritative with respect to </w:t>
      </w:r>
      <w:r w:rsidR="004A640D">
        <w:rPr>
          <w:rFonts w:ascii="Times New Roman" w:hAnsi="Times New Roman" w:cs="Times New Roman"/>
        </w:rPr>
        <w:t>the issue of God’s nature (as well as</w:t>
      </w:r>
      <w:r w:rsidR="00F259F3">
        <w:rPr>
          <w:rFonts w:ascii="Times New Roman" w:hAnsi="Times New Roman" w:cs="Times New Roman"/>
        </w:rPr>
        <w:t xml:space="preserve"> regarding</w:t>
      </w:r>
      <w:r w:rsidR="004A640D">
        <w:rPr>
          <w:rFonts w:ascii="Times New Roman" w:hAnsi="Times New Roman" w:cs="Times New Roman"/>
        </w:rPr>
        <w:t xml:space="preserve"> other matters such as </w:t>
      </w:r>
      <w:r w:rsidR="00EA41E3">
        <w:rPr>
          <w:rFonts w:ascii="Times New Roman" w:hAnsi="Times New Roman" w:cs="Times New Roman"/>
        </w:rPr>
        <w:t>whether</w:t>
      </w:r>
      <w:r w:rsidR="00F259F3">
        <w:rPr>
          <w:rFonts w:ascii="Times New Roman" w:hAnsi="Times New Roman" w:cs="Times New Roman"/>
        </w:rPr>
        <w:t xml:space="preserve"> there will be an </w:t>
      </w:r>
      <w:r w:rsidR="00B37D68">
        <w:rPr>
          <w:rFonts w:ascii="Times New Roman" w:hAnsi="Times New Roman" w:cs="Times New Roman"/>
        </w:rPr>
        <w:t xml:space="preserve">afterlife, or </w:t>
      </w:r>
      <w:r w:rsidR="00F259F3">
        <w:rPr>
          <w:rFonts w:ascii="Times New Roman" w:hAnsi="Times New Roman" w:cs="Times New Roman"/>
        </w:rPr>
        <w:t xml:space="preserve">a </w:t>
      </w:r>
      <w:r w:rsidR="00F259F3">
        <w:rPr>
          <w:rFonts w:ascii="Times New Roman" w:hAnsi="Times New Roman" w:cs="Times New Roman"/>
        </w:rPr>
        <w:lastRenderedPageBreak/>
        <w:t>Last Judgement, say).</w:t>
      </w:r>
      <w:r w:rsidR="00B37D68">
        <w:rPr>
          <w:rFonts w:ascii="Times New Roman" w:hAnsi="Times New Roman" w:cs="Times New Roman"/>
        </w:rPr>
        <w:t xml:space="preserve"> If one did not take that for granted, then the Bible </w:t>
      </w:r>
      <w:r w:rsidR="007E4953">
        <w:rPr>
          <w:rFonts w:ascii="Times New Roman" w:hAnsi="Times New Roman" w:cs="Times New Roman"/>
        </w:rPr>
        <w:t>c</w:t>
      </w:r>
      <w:r w:rsidR="00B37D68">
        <w:rPr>
          <w:rFonts w:ascii="Times New Roman" w:hAnsi="Times New Roman" w:cs="Times New Roman"/>
        </w:rPr>
        <w:t xml:space="preserve">ould </w:t>
      </w:r>
      <w:r w:rsidR="007E4953">
        <w:rPr>
          <w:rFonts w:ascii="Times New Roman" w:hAnsi="Times New Roman" w:cs="Times New Roman"/>
        </w:rPr>
        <w:t xml:space="preserve">not be taken to be the revealed word of </w:t>
      </w:r>
      <w:r w:rsidR="00B771D7">
        <w:rPr>
          <w:rFonts w:ascii="Times New Roman" w:hAnsi="Times New Roman" w:cs="Times New Roman"/>
        </w:rPr>
        <w:t>God and</w:t>
      </w:r>
      <w:r w:rsidR="007E4953">
        <w:rPr>
          <w:rFonts w:ascii="Times New Roman" w:hAnsi="Times New Roman" w:cs="Times New Roman"/>
        </w:rPr>
        <w:t xml:space="preserve"> would rather </w:t>
      </w:r>
      <w:r w:rsidR="00B37D68">
        <w:rPr>
          <w:rFonts w:ascii="Times New Roman" w:hAnsi="Times New Roman" w:cs="Times New Roman"/>
        </w:rPr>
        <w:t>be just like any</w:t>
      </w:r>
      <w:r w:rsidR="00EA6343">
        <w:rPr>
          <w:rFonts w:ascii="Times New Roman" w:hAnsi="Times New Roman" w:cs="Times New Roman"/>
        </w:rPr>
        <w:t xml:space="preserve"> other piece of historical evidence, </w:t>
      </w:r>
      <w:r w:rsidR="00133781">
        <w:rPr>
          <w:rFonts w:ascii="Times New Roman" w:hAnsi="Times New Roman" w:cs="Times New Roman"/>
        </w:rPr>
        <w:t>the</w:t>
      </w:r>
      <w:r w:rsidR="00EA6343">
        <w:rPr>
          <w:rFonts w:ascii="Times New Roman" w:hAnsi="Times New Roman" w:cs="Times New Roman"/>
        </w:rPr>
        <w:t xml:space="preserve"> reliability </w:t>
      </w:r>
      <w:r w:rsidR="00133781">
        <w:rPr>
          <w:rFonts w:ascii="Times New Roman" w:hAnsi="Times New Roman" w:cs="Times New Roman"/>
        </w:rPr>
        <w:t xml:space="preserve">of which </w:t>
      </w:r>
      <w:r w:rsidR="00EA6343">
        <w:rPr>
          <w:rFonts w:ascii="Times New Roman" w:hAnsi="Times New Roman" w:cs="Times New Roman"/>
        </w:rPr>
        <w:t>could and should be questioned and empirically verified</w:t>
      </w:r>
      <w:r w:rsidR="0037568A">
        <w:rPr>
          <w:rFonts w:ascii="Times New Roman" w:hAnsi="Times New Roman" w:cs="Times New Roman"/>
        </w:rPr>
        <w:t>. C</w:t>
      </w:r>
      <w:r w:rsidR="00991A35">
        <w:rPr>
          <w:rFonts w:ascii="Times New Roman" w:hAnsi="Times New Roman" w:cs="Times New Roman"/>
        </w:rPr>
        <w:t xml:space="preserve">learly, on that score, the belief that Jesus </w:t>
      </w:r>
      <w:r w:rsidR="00B771D7">
        <w:rPr>
          <w:rFonts w:ascii="Times New Roman" w:hAnsi="Times New Roman" w:cs="Times New Roman"/>
        </w:rPr>
        <w:t xml:space="preserve">Christ </w:t>
      </w:r>
      <w:r w:rsidR="0037568A">
        <w:rPr>
          <w:rFonts w:ascii="Times New Roman" w:hAnsi="Times New Roman" w:cs="Times New Roman"/>
        </w:rPr>
        <w:t>is</w:t>
      </w:r>
      <w:r w:rsidR="00991A35">
        <w:rPr>
          <w:rFonts w:ascii="Times New Roman" w:hAnsi="Times New Roman" w:cs="Times New Roman"/>
        </w:rPr>
        <w:t xml:space="preserve"> </w:t>
      </w:r>
      <w:r w:rsidR="00170F64">
        <w:rPr>
          <w:rFonts w:ascii="Times New Roman" w:hAnsi="Times New Roman" w:cs="Times New Roman"/>
        </w:rPr>
        <w:t>God’s son would appear to be highly questionable at best.</w:t>
      </w:r>
      <w:r w:rsidR="006B5B1F">
        <w:rPr>
          <w:rStyle w:val="FootnoteReference"/>
          <w:rFonts w:ascii="Times New Roman" w:hAnsi="Times New Roman" w:cs="Times New Roman"/>
        </w:rPr>
        <w:footnoteReference w:id="9"/>
      </w:r>
    </w:p>
    <w:p w14:paraId="6C9B24DF" w14:textId="25225EC3" w:rsidR="00FF1EF0" w:rsidRPr="00FF1EF0" w:rsidRDefault="00FF1EF0" w:rsidP="00D11855">
      <w:pPr>
        <w:pStyle w:val="ListParagraph"/>
        <w:numPr>
          <w:ilvl w:val="1"/>
          <w:numId w:val="3"/>
        </w:numPr>
        <w:spacing w:before="240" w:after="120" w:line="360" w:lineRule="auto"/>
        <w:jc w:val="both"/>
        <w:rPr>
          <w:rFonts w:ascii="Times New Roman" w:hAnsi="Times New Roman" w:cs="Times New Roman"/>
          <w:i/>
          <w:iCs/>
        </w:rPr>
      </w:pPr>
      <w:r w:rsidRPr="00FF1EF0">
        <w:rPr>
          <w:rFonts w:ascii="Times New Roman" w:hAnsi="Times New Roman" w:cs="Times New Roman"/>
          <w:i/>
          <w:iCs/>
        </w:rPr>
        <w:t xml:space="preserve">The hinge-epistemology framework and </w:t>
      </w:r>
      <w:r>
        <w:rPr>
          <w:rFonts w:ascii="Times New Roman" w:hAnsi="Times New Roman" w:cs="Times New Roman"/>
          <w:i/>
          <w:iCs/>
        </w:rPr>
        <w:t>the nature of disagreement</w:t>
      </w:r>
    </w:p>
    <w:p w14:paraId="5A814D6B" w14:textId="25AB6F2C" w:rsidR="00D040A4" w:rsidRPr="00D040A4" w:rsidRDefault="00D040A4" w:rsidP="00D040A4">
      <w:pPr>
        <w:spacing w:after="120" w:line="360" w:lineRule="auto"/>
        <w:jc w:val="both"/>
        <w:rPr>
          <w:rFonts w:ascii="Times New Roman" w:hAnsi="Times New Roman" w:cs="Times New Roman"/>
        </w:rPr>
      </w:pPr>
      <w:r w:rsidRPr="00D040A4">
        <w:rPr>
          <w:rFonts w:ascii="Times New Roman" w:hAnsi="Times New Roman" w:cs="Times New Roman"/>
        </w:rPr>
        <w:t>A key issue that has been a focus of discussion among hinge epistemologists for some time is the nature of disagreement</w:t>
      </w:r>
      <w:r w:rsidR="00F71304">
        <w:rPr>
          <w:rFonts w:ascii="Times New Roman" w:hAnsi="Times New Roman" w:cs="Times New Roman"/>
        </w:rPr>
        <w:t xml:space="preserve"> – </w:t>
      </w:r>
      <w:r w:rsidRPr="00D040A4">
        <w:rPr>
          <w:rFonts w:ascii="Times New Roman" w:hAnsi="Times New Roman" w:cs="Times New Roman"/>
        </w:rPr>
        <w:t>particularly disagreement concerning hinges</w:t>
      </w:r>
      <w:r w:rsidR="00F71304">
        <w:rPr>
          <w:rFonts w:ascii="Times New Roman" w:hAnsi="Times New Roman" w:cs="Times New Roman"/>
        </w:rPr>
        <w:t xml:space="preserve"> – </w:t>
      </w:r>
      <w:r w:rsidRPr="00D040A4">
        <w:rPr>
          <w:rFonts w:ascii="Times New Roman" w:hAnsi="Times New Roman" w:cs="Times New Roman"/>
        </w:rPr>
        <w:t>and the extent to which such disagreement can be resolved through rational means.</w:t>
      </w:r>
    </w:p>
    <w:p w14:paraId="0B40AB5C" w14:textId="55659E85" w:rsidR="00170F64" w:rsidRDefault="0073055E" w:rsidP="00245CB4">
      <w:pPr>
        <w:spacing w:after="120" w:line="360" w:lineRule="auto"/>
        <w:jc w:val="both"/>
        <w:rPr>
          <w:rFonts w:ascii="Times New Roman" w:hAnsi="Times New Roman" w:cs="Times New Roman"/>
        </w:rPr>
      </w:pPr>
      <w:r>
        <w:rPr>
          <w:rFonts w:ascii="Times New Roman" w:hAnsi="Times New Roman" w:cs="Times New Roman"/>
        </w:rPr>
        <w:t>The problem can be illustrated as follows. Most disagreements we are typically confronted with</w:t>
      </w:r>
      <w:r w:rsidR="009C5847">
        <w:rPr>
          <w:rFonts w:ascii="Times New Roman" w:hAnsi="Times New Roman" w:cs="Times New Roman"/>
        </w:rPr>
        <w:t xml:space="preserve"> are held against a background of shared hinges</w:t>
      </w:r>
      <w:r w:rsidR="004671AA">
        <w:rPr>
          <w:rFonts w:ascii="Times New Roman" w:hAnsi="Times New Roman" w:cs="Times New Roman"/>
        </w:rPr>
        <w:t xml:space="preserve"> and epistemic methods</w:t>
      </w:r>
      <w:r w:rsidR="009C5847">
        <w:rPr>
          <w:rFonts w:ascii="Times New Roman" w:hAnsi="Times New Roman" w:cs="Times New Roman"/>
        </w:rPr>
        <w:t>. Suppose you and I disagree with respect to how much we ow</w:t>
      </w:r>
      <w:r w:rsidR="00AE1CB1">
        <w:rPr>
          <w:rFonts w:ascii="Times New Roman" w:hAnsi="Times New Roman" w:cs="Times New Roman"/>
        </w:rPr>
        <w:t>e</w:t>
      </w:r>
      <w:r w:rsidR="000C3049">
        <w:rPr>
          <w:rFonts w:ascii="Times New Roman" w:hAnsi="Times New Roman" w:cs="Times New Roman"/>
        </w:rPr>
        <w:t xml:space="preserve"> after a meal at a restaurant</w:t>
      </w:r>
      <w:r w:rsidR="00AE1CB1">
        <w:rPr>
          <w:rFonts w:ascii="Times New Roman" w:hAnsi="Times New Roman" w:cs="Times New Roman"/>
        </w:rPr>
        <w:t xml:space="preserve">, </w:t>
      </w:r>
      <w:r w:rsidR="00391E3C">
        <w:rPr>
          <w:rFonts w:ascii="Times New Roman" w:hAnsi="Times New Roman" w:cs="Times New Roman"/>
        </w:rPr>
        <w:t>assuming</w:t>
      </w:r>
      <w:r w:rsidR="00AE1CB1">
        <w:rPr>
          <w:rFonts w:ascii="Times New Roman" w:hAnsi="Times New Roman" w:cs="Times New Roman"/>
        </w:rPr>
        <w:t xml:space="preserve"> we </w:t>
      </w:r>
      <w:r w:rsidR="005B74ED">
        <w:rPr>
          <w:rFonts w:ascii="Times New Roman" w:hAnsi="Times New Roman" w:cs="Times New Roman"/>
        </w:rPr>
        <w:t xml:space="preserve">had previously </w:t>
      </w:r>
      <w:r w:rsidR="00AE1CB1">
        <w:rPr>
          <w:rFonts w:ascii="Times New Roman" w:hAnsi="Times New Roman" w:cs="Times New Roman"/>
        </w:rPr>
        <w:t xml:space="preserve">agreed to split </w:t>
      </w:r>
      <w:r w:rsidR="00496879">
        <w:rPr>
          <w:rFonts w:ascii="Times New Roman" w:hAnsi="Times New Roman" w:cs="Times New Roman"/>
        </w:rPr>
        <w:t>the bill</w:t>
      </w:r>
      <w:r w:rsidR="00AE1CB1">
        <w:rPr>
          <w:rFonts w:ascii="Times New Roman" w:hAnsi="Times New Roman" w:cs="Times New Roman"/>
        </w:rPr>
        <w:t xml:space="preserve"> evenly. In such a case, by using elementary mathematical tools, we will be able to </w:t>
      </w:r>
      <w:r w:rsidR="00CE5E9A">
        <w:rPr>
          <w:rFonts w:ascii="Times New Roman" w:hAnsi="Times New Roman" w:cs="Times New Roman"/>
        </w:rPr>
        <w:t>ascertain who, among the two of us, is right (if any</w:t>
      </w:r>
      <w:r w:rsidR="00675014">
        <w:rPr>
          <w:rFonts w:ascii="Times New Roman" w:hAnsi="Times New Roman" w:cs="Times New Roman"/>
        </w:rPr>
        <w:t>,</w:t>
      </w:r>
      <w:r w:rsidR="00CE5E9A">
        <w:rPr>
          <w:rFonts w:ascii="Times New Roman" w:hAnsi="Times New Roman" w:cs="Times New Roman"/>
        </w:rPr>
        <w:t xml:space="preserve"> for </w:t>
      </w:r>
      <w:r w:rsidR="00582646">
        <w:rPr>
          <w:rFonts w:ascii="Times New Roman" w:hAnsi="Times New Roman" w:cs="Times New Roman"/>
        </w:rPr>
        <w:t>both of us</w:t>
      </w:r>
      <w:r w:rsidR="00CE5E9A">
        <w:rPr>
          <w:rFonts w:ascii="Times New Roman" w:hAnsi="Times New Roman" w:cs="Times New Roman"/>
        </w:rPr>
        <w:t xml:space="preserve"> could have made a mistake). </w:t>
      </w:r>
      <w:r w:rsidR="00FC21D2">
        <w:rPr>
          <w:rFonts w:ascii="Times New Roman" w:hAnsi="Times New Roman" w:cs="Times New Roman"/>
        </w:rPr>
        <w:t xml:space="preserve">The methods we bring to bear on the resolution of the disagreement are shared between the parties, and that’s why this kind of disagreement is </w:t>
      </w:r>
      <w:r w:rsidR="00BD2377">
        <w:rPr>
          <w:rFonts w:ascii="Times New Roman" w:hAnsi="Times New Roman" w:cs="Times New Roman"/>
        </w:rPr>
        <w:t xml:space="preserve">amenable to </w:t>
      </w:r>
      <w:r w:rsidR="00FC21D2">
        <w:rPr>
          <w:rFonts w:ascii="Times New Roman" w:hAnsi="Times New Roman" w:cs="Times New Roman"/>
        </w:rPr>
        <w:t xml:space="preserve">rational resolution. </w:t>
      </w:r>
      <w:r w:rsidR="00BD2377">
        <w:rPr>
          <w:rFonts w:ascii="Times New Roman" w:hAnsi="Times New Roman" w:cs="Times New Roman"/>
        </w:rPr>
        <w:t>Similarly, it is shared among the parties that, if we use a calculator, physical objects exist, and that tools such as a calculator are generally reliable.</w:t>
      </w:r>
    </w:p>
    <w:p w14:paraId="3A6EBB60" w14:textId="116B21C3" w:rsidR="00FC21D2" w:rsidRDefault="00FC21D2" w:rsidP="00245CB4">
      <w:pPr>
        <w:spacing w:after="120" w:line="360" w:lineRule="auto"/>
        <w:jc w:val="both"/>
        <w:rPr>
          <w:rFonts w:ascii="Times New Roman" w:hAnsi="Times New Roman" w:cs="Times New Roman"/>
        </w:rPr>
      </w:pPr>
      <w:r>
        <w:rPr>
          <w:rFonts w:ascii="Times New Roman" w:hAnsi="Times New Roman" w:cs="Times New Roman"/>
        </w:rPr>
        <w:t xml:space="preserve">However, </w:t>
      </w:r>
      <w:r w:rsidR="00B5280B">
        <w:rPr>
          <w:rFonts w:ascii="Times New Roman" w:hAnsi="Times New Roman" w:cs="Times New Roman"/>
        </w:rPr>
        <w:t xml:space="preserve">if we started disagreeing about whether there are physical objects at all, </w:t>
      </w:r>
      <w:r w:rsidR="00F8578B">
        <w:rPr>
          <w:rFonts w:ascii="Times New Roman" w:hAnsi="Times New Roman" w:cs="Times New Roman"/>
        </w:rPr>
        <w:t xml:space="preserve">or about whether calculators in general are reliable, or whether basic arithmetic is a reliable </w:t>
      </w:r>
      <w:r w:rsidR="00016CCA">
        <w:rPr>
          <w:rFonts w:ascii="Times New Roman" w:hAnsi="Times New Roman" w:cs="Times New Roman"/>
        </w:rPr>
        <w:t>method</w:t>
      </w:r>
      <w:r w:rsidR="00F8578B">
        <w:rPr>
          <w:rFonts w:ascii="Times New Roman" w:hAnsi="Times New Roman" w:cs="Times New Roman"/>
        </w:rPr>
        <w:t xml:space="preserve"> of rational belief</w:t>
      </w:r>
      <w:r w:rsidR="00016CCA">
        <w:rPr>
          <w:rFonts w:ascii="Times New Roman" w:hAnsi="Times New Roman" w:cs="Times New Roman"/>
        </w:rPr>
        <w:t xml:space="preserve"> formation</w:t>
      </w:r>
      <w:r w:rsidR="00D735BC">
        <w:rPr>
          <w:rFonts w:ascii="Times New Roman" w:hAnsi="Times New Roman" w:cs="Times New Roman"/>
        </w:rPr>
        <w:t xml:space="preserve">, </w:t>
      </w:r>
      <w:r w:rsidR="009E1A02">
        <w:rPr>
          <w:rFonts w:ascii="Times New Roman" w:hAnsi="Times New Roman" w:cs="Times New Roman"/>
        </w:rPr>
        <w:t>clearly,</w:t>
      </w:r>
      <w:r w:rsidR="00D735BC">
        <w:rPr>
          <w:rFonts w:ascii="Times New Roman" w:hAnsi="Times New Roman" w:cs="Times New Roman"/>
        </w:rPr>
        <w:t xml:space="preserve"> we could neither rationally resolve the specific disagreement at issue – i.e.</w:t>
      </w:r>
      <w:r w:rsidR="004C1FAB">
        <w:rPr>
          <w:rFonts w:ascii="Times New Roman" w:hAnsi="Times New Roman" w:cs="Times New Roman"/>
        </w:rPr>
        <w:t>,</w:t>
      </w:r>
      <w:r w:rsidR="00D735BC">
        <w:rPr>
          <w:rFonts w:ascii="Times New Roman" w:hAnsi="Times New Roman" w:cs="Times New Roman"/>
        </w:rPr>
        <w:t xml:space="preserve"> how much we owe</w:t>
      </w:r>
      <w:r w:rsidR="004C1FAB">
        <w:rPr>
          <w:rFonts w:ascii="Times New Roman" w:hAnsi="Times New Roman" w:cs="Times New Roman"/>
        </w:rPr>
        <w:t xml:space="preserve"> </w:t>
      </w:r>
      <w:r w:rsidR="009E1A02">
        <w:rPr>
          <w:rFonts w:ascii="Times New Roman" w:hAnsi="Times New Roman" w:cs="Times New Roman"/>
        </w:rPr>
        <w:t xml:space="preserve">if we want to split the bill evenly </w:t>
      </w:r>
      <w:r w:rsidR="004C1FAB">
        <w:rPr>
          <w:rFonts w:ascii="Times New Roman" w:hAnsi="Times New Roman" w:cs="Times New Roman"/>
        </w:rPr>
        <w:t xml:space="preserve">– nor, presumably, the kind of hinge-disagreement we would be </w:t>
      </w:r>
      <w:r w:rsidR="00DE1690">
        <w:rPr>
          <w:rFonts w:ascii="Times New Roman" w:hAnsi="Times New Roman" w:cs="Times New Roman"/>
        </w:rPr>
        <w:t>displaying</w:t>
      </w:r>
      <w:r w:rsidR="004C1FAB">
        <w:rPr>
          <w:rFonts w:ascii="Times New Roman" w:hAnsi="Times New Roman" w:cs="Times New Roman"/>
        </w:rPr>
        <w:t>.</w:t>
      </w:r>
      <w:r w:rsidR="00DE1690">
        <w:rPr>
          <w:rFonts w:ascii="Times New Roman" w:hAnsi="Times New Roman" w:cs="Times New Roman"/>
        </w:rPr>
        <w:t xml:space="preserve"> For, if reasons are possible only by taking hinges for granted, if two parties to a dispute hold different and incompatible hinges, then </w:t>
      </w:r>
      <w:r w:rsidR="00EF57E1">
        <w:rPr>
          <w:rFonts w:ascii="Times New Roman" w:hAnsi="Times New Roman" w:cs="Times New Roman"/>
        </w:rPr>
        <w:t xml:space="preserve">they have no common hinge, or method, to appeal to </w:t>
      </w:r>
      <w:proofErr w:type="spellStart"/>
      <w:r w:rsidR="006E1FFC">
        <w:rPr>
          <w:rFonts w:ascii="Times New Roman" w:hAnsi="Times New Roman" w:cs="Times New Roman"/>
        </w:rPr>
        <w:t>to</w:t>
      </w:r>
      <w:proofErr w:type="spellEnd"/>
      <w:r w:rsidR="00EF57E1">
        <w:rPr>
          <w:rFonts w:ascii="Times New Roman" w:hAnsi="Times New Roman" w:cs="Times New Roman"/>
        </w:rPr>
        <w:t xml:space="preserve"> </w:t>
      </w:r>
      <w:r w:rsidR="00587FC9">
        <w:rPr>
          <w:rFonts w:ascii="Times New Roman" w:hAnsi="Times New Roman" w:cs="Times New Roman"/>
        </w:rPr>
        <w:t xml:space="preserve">produce reasons and to </w:t>
      </w:r>
      <w:r w:rsidR="009E1A02">
        <w:rPr>
          <w:rFonts w:ascii="Times New Roman" w:hAnsi="Times New Roman" w:cs="Times New Roman"/>
        </w:rPr>
        <w:t xml:space="preserve">rationally </w:t>
      </w:r>
      <w:r w:rsidR="00EF57E1">
        <w:rPr>
          <w:rFonts w:ascii="Times New Roman" w:hAnsi="Times New Roman" w:cs="Times New Roman"/>
        </w:rPr>
        <w:t>re</w:t>
      </w:r>
      <w:r w:rsidR="009E1A02">
        <w:rPr>
          <w:rFonts w:ascii="Times New Roman" w:hAnsi="Times New Roman" w:cs="Times New Roman"/>
        </w:rPr>
        <w:t>s</w:t>
      </w:r>
      <w:r w:rsidR="00EF57E1">
        <w:rPr>
          <w:rFonts w:ascii="Times New Roman" w:hAnsi="Times New Roman" w:cs="Times New Roman"/>
        </w:rPr>
        <w:t>olve their disagreement.</w:t>
      </w:r>
    </w:p>
    <w:p w14:paraId="5FC403F8" w14:textId="71D6B2B6" w:rsidR="009E118B" w:rsidRDefault="0009782E" w:rsidP="009E118B">
      <w:pPr>
        <w:spacing w:after="120" w:line="360" w:lineRule="auto"/>
        <w:jc w:val="both"/>
        <w:rPr>
          <w:rFonts w:ascii="Times New Roman" w:hAnsi="Times New Roman" w:cs="Times New Roman"/>
        </w:rPr>
      </w:pPr>
      <w:r>
        <w:rPr>
          <w:rFonts w:ascii="Times New Roman" w:hAnsi="Times New Roman" w:cs="Times New Roman"/>
        </w:rPr>
        <w:lastRenderedPageBreak/>
        <w:t>Using a terminol</w:t>
      </w:r>
      <w:r w:rsidR="001F41FC">
        <w:rPr>
          <w:rFonts w:ascii="Times New Roman" w:hAnsi="Times New Roman" w:cs="Times New Roman"/>
        </w:rPr>
        <w:t xml:space="preserve">ogy due to </w:t>
      </w:r>
      <w:r w:rsidR="001F41FC" w:rsidRPr="00B33B57">
        <w:rPr>
          <w:rFonts w:ascii="Times New Roman" w:hAnsi="Times New Roman" w:cs="Times New Roman"/>
        </w:rPr>
        <w:t>Rudolf Carnap (1950),</w:t>
      </w:r>
      <w:r w:rsidR="006D7747" w:rsidRPr="00B33B57">
        <w:rPr>
          <w:rStyle w:val="FootnoteReference"/>
          <w:rFonts w:ascii="Times New Roman" w:hAnsi="Times New Roman" w:cs="Times New Roman"/>
        </w:rPr>
        <w:footnoteReference w:id="10"/>
      </w:r>
      <w:r w:rsidR="001F41FC">
        <w:rPr>
          <w:rFonts w:ascii="Times New Roman" w:hAnsi="Times New Roman" w:cs="Times New Roman"/>
        </w:rPr>
        <w:t xml:space="preserve"> we may say </w:t>
      </w:r>
      <w:r w:rsidR="00ED3757">
        <w:rPr>
          <w:rFonts w:ascii="Times New Roman" w:hAnsi="Times New Roman" w:cs="Times New Roman"/>
        </w:rPr>
        <w:t>– with some approximation</w:t>
      </w:r>
      <w:r w:rsidR="00ED3757">
        <w:rPr>
          <w:rStyle w:val="FootnoteReference"/>
          <w:rFonts w:ascii="Times New Roman" w:hAnsi="Times New Roman" w:cs="Times New Roman"/>
        </w:rPr>
        <w:footnoteReference w:id="11"/>
      </w:r>
      <w:r w:rsidR="00ED3757">
        <w:rPr>
          <w:rFonts w:ascii="Times New Roman" w:hAnsi="Times New Roman" w:cs="Times New Roman"/>
        </w:rPr>
        <w:t xml:space="preserve"> – </w:t>
      </w:r>
      <w:r w:rsidR="001F41FC">
        <w:rPr>
          <w:rFonts w:ascii="Times New Roman" w:hAnsi="Times New Roman" w:cs="Times New Roman"/>
        </w:rPr>
        <w:t xml:space="preserve">that only disagreements “internal” to a shared system of hinges are rationally </w:t>
      </w:r>
      <w:r w:rsidR="009E577D">
        <w:rPr>
          <w:rFonts w:ascii="Times New Roman" w:hAnsi="Times New Roman" w:cs="Times New Roman"/>
        </w:rPr>
        <w:t xml:space="preserve">resolvable (at least in principle); whereas disagreements </w:t>
      </w:r>
      <w:r w:rsidR="005B142A">
        <w:rPr>
          <w:rFonts w:ascii="Times New Roman" w:hAnsi="Times New Roman" w:cs="Times New Roman"/>
        </w:rPr>
        <w:t>about those very hinges, or between beliefs held based on different systems of hinges</w:t>
      </w:r>
      <w:r w:rsidR="008F38A4">
        <w:rPr>
          <w:rFonts w:ascii="Times New Roman" w:hAnsi="Times New Roman" w:cs="Times New Roman"/>
        </w:rPr>
        <w:t>, which we might call “external”, aren’t.</w:t>
      </w:r>
      <w:r w:rsidR="00692C32">
        <w:rPr>
          <w:rFonts w:ascii="Times New Roman" w:hAnsi="Times New Roman" w:cs="Times New Roman"/>
        </w:rPr>
        <w:t xml:space="preserve"> </w:t>
      </w:r>
      <w:r w:rsidR="009E118B" w:rsidRPr="009E118B">
        <w:rPr>
          <w:rFonts w:ascii="Times New Roman" w:hAnsi="Times New Roman" w:cs="Times New Roman"/>
        </w:rPr>
        <w:t xml:space="preserve">To reiterate, </w:t>
      </w:r>
      <w:r w:rsidR="008E137A">
        <w:rPr>
          <w:rFonts w:ascii="Times New Roman" w:hAnsi="Times New Roman" w:cs="Times New Roman"/>
        </w:rPr>
        <w:t>epistemic</w:t>
      </w:r>
      <w:r w:rsidR="0040603C">
        <w:rPr>
          <w:rFonts w:ascii="Times New Roman" w:hAnsi="Times New Roman" w:cs="Times New Roman"/>
        </w:rPr>
        <w:t xml:space="preserve"> </w:t>
      </w:r>
      <w:r w:rsidR="009E118B" w:rsidRPr="009E118B">
        <w:rPr>
          <w:rFonts w:ascii="Times New Roman" w:hAnsi="Times New Roman" w:cs="Times New Roman"/>
        </w:rPr>
        <w:t>reasons can only be derived from</w:t>
      </w:r>
      <w:r w:rsidR="008E137A">
        <w:rPr>
          <w:rFonts w:ascii="Times New Roman" w:hAnsi="Times New Roman" w:cs="Times New Roman"/>
        </w:rPr>
        <w:t xml:space="preserve"> </w:t>
      </w:r>
      <w:r w:rsidR="009E118B" w:rsidRPr="009E118B">
        <w:rPr>
          <w:rFonts w:ascii="Times New Roman" w:hAnsi="Times New Roman" w:cs="Times New Roman"/>
        </w:rPr>
        <w:t xml:space="preserve">evidence in conjunction with </w:t>
      </w:r>
      <w:r w:rsidR="00804E7F">
        <w:rPr>
          <w:rFonts w:ascii="Times New Roman" w:hAnsi="Times New Roman" w:cs="Times New Roman"/>
        </w:rPr>
        <w:t>“</w:t>
      </w:r>
      <w:r w:rsidR="009E118B" w:rsidRPr="009E118B">
        <w:rPr>
          <w:rFonts w:ascii="Times New Roman" w:hAnsi="Times New Roman" w:cs="Times New Roman"/>
        </w:rPr>
        <w:t>hinges.</w:t>
      </w:r>
      <w:r w:rsidR="00804E7F">
        <w:rPr>
          <w:rFonts w:ascii="Times New Roman" w:hAnsi="Times New Roman" w:cs="Times New Roman"/>
        </w:rPr>
        <w:t>”</w:t>
      </w:r>
      <w:r w:rsidR="009E118B" w:rsidRPr="009E118B">
        <w:rPr>
          <w:rFonts w:ascii="Times New Roman" w:hAnsi="Times New Roman" w:cs="Times New Roman"/>
        </w:rPr>
        <w:t xml:space="preserve"> However, if these hinges themselves are the subject of dispute, they cannot be defended </w:t>
      </w:r>
      <w:proofErr w:type="gramStart"/>
      <w:r w:rsidR="009E118B" w:rsidRPr="009E118B">
        <w:rPr>
          <w:rFonts w:ascii="Times New Roman" w:hAnsi="Times New Roman" w:cs="Times New Roman"/>
        </w:rPr>
        <w:t>on the basis of</w:t>
      </w:r>
      <w:proofErr w:type="gramEnd"/>
      <w:r w:rsidR="009E118B" w:rsidRPr="009E118B">
        <w:rPr>
          <w:rFonts w:ascii="Times New Roman" w:hAnsi="Times New Roman" w:cs="Times New Roman"/>
        </w:rPr>
        <w:t xml:space="preserve"> </w:t>
      </w:r>
      <w:r w:rsidR="008E137A">
        <w:rPr>
          <w:rFonts w:ascii="Times New Roman" w:hAnsi="Times New Roman" w:cs="Times New Roman"/>
        </w:rPr>
        <w:t>epistemic</w:t>
      </w:r>
      <w:r w:rsidR="009E118B" w:rsidRPr="009E118B">
        <w:rPr>
          <w:rFonts w:ascii="Times New Roman" w:hAnsi="Times New Roman" w:cs="Times New Roman"/>
        </w:rPr>
        <w:t xml:space="preserve"> reasons. In cases where </w:t>
      </w:r>
      <w:r w:rsidR="00707F41" w:rsidRPr="009E118B">
        <w:rPr>
          <w:rFonts w:ascii="Times New Roman" w:hAnsi="Times New Roman" w:cs="Times New Roman"/>
        </w:rPr>
        <w:t>disagreement</w:t>
      </w:r>
      <w:r w:rsidR="009E118B" w:rsidRPr="009E118B">
        <w:rPr>
          <w:rFonts w:ascii="Times New Roman" w:hAnsi="Times New Roman" w:cs="Times New Roman"/>
        </w:rPr>
        <w:t xml:space="preserve"> pertains to beliefs that are justified solely by presupposing a particular system of hinges, </w:t>
      </w:r>
      <w:r w:rsidR="005552A1">
        <w:rPr>
          <w:rFonts w:ascii="Times New Roman" w:hAnsi="Times New Roman" w:cs="Times New Roman"/>
        </w:rPr>
        <w:t>which isn’t</w:t>
      </w:r>
      <w:r w:rsidR="00AF26CB">
        <w:rPr>
          <w:rFonts w:ascii="Times New Roman" w:hAnsi="Times New Roman" w:cs="Times New Roman"/>
        </w:rPr>
        <w:t xml:space="preserve"> </w:t>
      </w:r>
      <w:r w:rsidR="009E118B" w:rsidRPr="009E118B">
        <w:rPr>
          <w:rFonts w:ascii="Times New Roman" w:hAnsi="Times New Roman" w:cs="Times New Roman"/>
        </w:rPr>
        <w:t>endorsed by the opposi</w:t>
      </w:r>
      <w:r w:rsidR="00716293">
        <w:rPr>
          <w:rFonts w:ascii="Times New Roman" w:hAnsi="Times New Roman" w:cs="Times New Roman"/>
        </w:rPr>
        <w:t>te</w:t>
      </w:r>
      <w:r w:rsidR="009E118B" w:rsidRPr="009E118B">
        <w:rPr>
          <w:rFonts w:ascii="Times New Roman" w:hAnsi="Times New Roman" w:cs="Times New Roman"/>
        </w:rPr>
        <w:t xml:space="preserve"> party, the disagreement becomes irresolvable on rational grounds. This is because the reasons advanced by each party would necessarily presuppose the validity of their own system of hinges, thus rendering their arguments circular and </w:t>
      </w:r>
      <w:r w:rsidR="00716293">
        <w:rPr>
          <w:rFonts w:ascii="Times New Roman" w:hAnsi="Times New Roman" w:cs="Times New Roman"/>
        </w:rPr>
        <w:t>question-begging against</w:t>
      </w:r>
      <w:r w:rsidR="009E118B" w:rsidRPr="009E118B">
        <w:rPr>
          <w:rFonts w:ascii="Times New Roman" w:hAnsi="Times New Roman" w:cs="Times New Roman"/>
        </w:rPr>
        <w:t xml:space="preserve"> the other </w:t>
      </w:r>
      <w:r w:rsidR="00103D17">
        <w:rPr>
          <w:rFonts w:ascii="Times New Roman" w:hAnsi="Times New Roman" w:cs="Times New Roman"/>
        </w:rPr>
        <w:t>party</w:t>
      </w:r>
      <w:r w:rsidR="009E118B" w:rsidRPr="009E118B">
        <w:rPr>
          <w:rFonts w:ascii="Times New Roman" w:hAnsi="Times New Roman" w:cs="Times New Roman"/>
        </w:rPr>
        <w:t>.</w:t>
      </w:r>
    </w:p>
    <w:p w14:paraId="23CA7D7C" w14:textId="1DBEFC48" w:rsidR="00777B42" w:rsidRDefault="00777B42" w:rsidP="009E118B">
      <w:pPr>
        <w:spacing w:after="120" w:line="360" w:lineRule="auto"/>
        <w:jc w:val="both"/>
        <w:rPr>
          <w:rFonts w:ascii="Times New Roman" w:hAnsi="Times New Roman" w:cs="Times New Roman"/>
        </w:rPr>
      </w:pPr>
      <w:r>
        <w:rPr>
          <w:rFonts w:ascii="Times New Roman" w:hAnsi="Times New Roman" w:cs="Times New Roman"/>
        </w:rPr>
        <w:t xml:space="preserve">In the hinge-epistemology literature, this kind of “external” disagreement – </w:t>
      </w:r>
      <w:r w:rsidR="00991984">
        <w:rPr>
          <w:rFonts w:ascii="Times New Roman" w:hAnsi="Times New Roman" w:cs="Times New Roman"/>
        </w:rPr>
        <w:t>particularly the one</w:t>
      </w:r>
      <w:r>
        <w:rPr>
          <w:rFonts w:ascii="Times New Roman" w:hAnsi="Times New Roman" w:cs="Times New Roman"/>
        </w:rPr>
        <w:t xml:space="preserve"> about hinges</w:t>
      </w:r>
      <w:r w:rsidR="00991984">
        <w:rPr>
          <w:rFonts w:ascii="Times New Roman" w:hAnsi="Times New Roman" w:cs="Times New Roman"/>
        </w:rPr>
        <w:t xml:space="preserve"> </w:t>
      </w:r>
      <w:r>
        <w:rPr>
          <w:rFonts w:ascii="Times New Roman" w:hAnsi="Times New Roman" w:cs="Times New Roman"/>
        </w:rPr>
        <w:t xml:space="preserve">– is </w:t>
      </w:r>
      <w:r w:rsidR="00883029">
        <w:rPr>
          <w:rFonts w:ascii="Times New Roman" w:hAnsi="Times New Roman" w:cs="Times New Roman"/>
        </w:rPr>
        <w:t>often referred to as “deep disagreement”.</w:t>
      </w:r>
      <w:r w:rsidR="00991984" w:rsidRPr="00991984">
        <w:rPr>
          <w:rFonts w:ascii="Times New Roman" w:hAnsi="Times New Roman" w:cs="Times New Roman"/>
        </w:rPr>
        <w:t xml:space="preserve"> </w:t>
      </w:r>
      <w:r w:rsidR="00F63612">
        <w:rPr>
          <w:rFonts w:ascii="Times New Roman" w:hAnsi="Times New Roman" w:cs="Times New Roman"/>
        </w:rPr>
        <w:t>We can thus label the</w:t>
      </w:r>
      <w:r w:rsidR="00183792">
        <w:rPr>
          <w:rFonts w:ascii="Times New Roman" w:hAnsi="Times New Roman" w:cs="Times New Roman"/>
        </w:rPr>
        <w:t xml:space="preserve"> three kinds of</w:t>
      </w:r>
      <w:r w:rsidR="00991984">
        <w:rPr>
          <w:rFonts w:ascii="Times New Roman" w:hAnsi="Times New Roman" w:cs="Times New Roman"/>
        </w:rPr>
        <w:t xml:space="preserve"> </w:t>
      </w:r>
      <w:r w:rsidR="00183792">
        <w:rPr>
          <w:rFonts w:ascii="Times New Roman" w:hAnsi="Times New Roman" w:cs="Times New Roman"/>
        </w:rPr>
        <w:t xml:space="preserve">disagreement just mentioned, </w:t>
      </w:r>
      <w:r w:rsidR="00157234">
        <w:rPr>
          <w:rFonts w:ascii="Times New Roman" w:hAnsi="Times New Roman" w:cs="Times New Roman"/>
        </w:rPr>
        <w:t>“</w:t>
      </w:r>
      <w:proofErr w:type="spellStart"/>
      <w:r w:rsidR="00183792">
        <w:rPr>
          <w:rFonts w:ascii="Times New Roman" w:hAnsi="Times New Roman" w:cs="Times New Roman"/>
        </w:rPr>
        <w:t>intratheoretic</w:t>
      </w:r>
      <w:proofErr w:type="spellEnd"/>
      <w:r w:rsidR="00157234">
        <w:rPr>
          <w:rFonts w:ascii="Times New Roman" w:hAnsi="Times New Roman" w:cs="Times New Roman"/>
        </w:rPr>
        <w:t>”, when we are focusing on “internal” disagreements</w:t>
      </w:r>
      <w:r w:rsidR="00B16045">
        <w:rPr>
          <w:rFonts w:ascii="Times New Roman" w:hAnsi="Times New Roman" w:cs="Times New Roman"/>
        </w:rPr>
        <w:t>; “</w:t>
      </w:r>
      <w:proofErr w:type="spellStart"/>
      <w:r w:rsidR="00B16045">
        <w:rPr>
          <w:rFonts w:ascii="Times New Roman" w:hAnsi="Times New Roman" w:cs="Times New Roman"/>
        </w:rPr>
        <w:t>intertheoretic</w:t>
      </w:r>
      <w:proofErr w:type="spellEnd"/>
      <w:r w:rsidR="00B16045">
        <w:rPr>
          <w:rFonts w:ascii="Times New Roman" w:hAnsi="Times New Roman" w:cs="Times New Roman"/>
        </w:rPr>
        <w:t xml:space="preserve">”, when we are focusing on disagreements between beliefs that are justified </w:t>
      </w:r>
      <w:r w:rsidR="00B076F7">
        <w:rPr>
          <w:rFonts w:ascii="Times New Roman" w:hAnsi="Times New Roman" w:cs="Times New Roman"/>
        </w:rPr>
        <w:t xml:space="preserve">against the background of </w:t>
      </w:r>
      <w:r w:rsidR="00AD63F0">
        <w:rPr>
          <w:rFonts w:ascii="Times New Roman" w:hAnsi="Times New Roman" w:cs="Times New Roman"/>
        </w:rPr>
        <w:t>on</w:t>
      </w:r>
      <w:r w:rsidR="00DA76D5">
        <w:rPr>
          <w:rFonts w:ascii="Times New Roman" w:hAnsi="Times New Roman" w:cs="Times New Roman"/>
        </w:rPr>
        <w:t>e</w:t>
      </w:r>
      <w:r w:rsidR="00B076F7">
        <w:rPr>
          <w:rFonts w:ascii="Times New Roman" w:hAnsi="Times New Roman" w:cs="Times New Roman"/>
        </w:rPr>
        <w:t xml:space="preserve"> </w:t>
      </w:r>
      <w:proofErr w:type="gramStart"/>
      <w:r w:rsidR="00B076F7">
        <w:rPr>
          <w:rFonts w:ascii="Times New Roman" w:hAnsi="Times New Roman" w:cs="Times New Roman"/>
        </w:rPr>
        <w:t>particular system</w:t>
      </w:r>
      <w:proofErr w:type="gramEnd"/>
      <w:r w:rsidR="00B076F7">
        <w:rPr>
          <w:rFonts w:ascii="Times New Roman" w:hAnsi="Times New Roman" w:cs="Times New Roman"/>
        </w:rPr>
        <w:t xml:space="preserve"> of hinges, but not against </w:t>
      </w:r>
      <w:r w:rsidR="00AD63F0">
        <w:rPr>
          <w:rFonts w:ascii="Times New Roman" w:hAnsi="Times New Roman" w:cs="Times New Roman"/>
        </w:rPr>
        <w:t>an</w:t>
      </w:r>
      <w:r w:rsidR="00B076F7">
        <w:rPr>
          <w:rFonts w:ascii="Times New Roman" w:hAnsi="Times New Roman" w:cs="Times New Roman"/>
        </w:rPr>
        <w:t>other one</w:t>
      </w:r>
      <w:r w:rsidR="0073037D">
        <w:rPr>
          <w:rFonts w:ascii="Times New Roman" w:hAnsi="Times New Roman" w:cs="Times New Roman"/>
        </w:rPr>
        <w:t>; and “deep”</w:t>
      </w:r>
      <w:r w:rsidR="0074374D">
        <w:rPr>
          <w:rFonts w:ascii="Times New Roman" w:hAnsi="Times New Roman" w:cs="Times New Roman"/>
        </w:rPr>
        <w:t xml:space="preserve">, when we are focusing on </w:t>
      </w:r>
      <w:r w:rsidR="0073037D">
        <w:rPr>
          <w:rFonts w:ascii="Times New Roman" w:hAnsi="Times New Roman" w:cs="Times New Roman"/>
        </w:rPr>
        <w:t xml:space="preserve">disagreements </w:t>
      </w:r>
      <w:r w:rsidR="00991984">
        <w:rPr>
          <w:rFonts w:ascii="Times New Roman" w:hAnsi="Times New Roman" w:cs="Times New Roman"/>
        </w:rPr>
        <w:t xml:space="preserve">about </w:t>
      </w:r>
      <w:r w:rsidR="0074374D">
        <w:rPr>
          <w:rFonts w:ascii="Times New Roman" w:hAnsi="Times New Roman" w:cs="Times New Roman"/>
        </w:rPr>
        <w:t>hinges</w:t>
      </w:r>
      <w:r w:rsidR="00435035">
        <w:rPr>
          <w:rFonts w:ascii="Times New Roman" w:hAnsi="Times New Roman" w:cs="Times New Roman"/>
        </w:rPr>
        <w:t xml:space="preserve"> themselves</w:t>
      </w:r>
      <w:r w:rsidR="0074374D">
        <w:rPr>
          <w:rFonts w:ascii="Times New Roman" w:hAnsi="Times New Roman" w:cs="Times New Roman"/>
        </w:rPr>
        <w:t>.</w:t>
      </w:r>
    </w:p>
    <w:p w14:paraId="0F968A8C" w14:textId="77777777" w:rsidR="0051365E" w:rsidRPr="009E118B" w:rsidRDefault="0051365E" w:rsidP="009E118B">
      <w:pPr>
        <w:spacing w:after="120" w:line="360" w:lineRule="auto"/>
        <w:jc w:val="both"/>
        <w:rPr>
          <w:rFonts w:ascii="Times New Roman" w:hAnsi="Times New Roman" w:cs="Times New Roman"/>
        </w:rPr>
      </w:pPr>
    </w:p>
    <w:p w14:paraId="595921CC" w14:textId="6AB080FA" w:rsidR="00BC7D79" w:rsidRPr="00883029" w:rsidRDefault="00694438" w:rsidP="00D11855">
      <w:pPr>
        <w:pStyle w:val="ListParagraph"/>
        <w:numPr>
          <w:ilvl w:val="0"/>
          <w:numId w:val="1"/>
        </w:numPr>
        <w:spacing w:before="360" w:after="120" w:line="360" w:lineRule="auto"/>
        <w:jc w:val="both"/>
        <w:rPr>
          <w:rFonts w:ascii="Times New Roman" w:hAnsi="Times New Roman" w:cs="Times New Roman"/>
          <w:b/>
          <w:bCs/>
        </w:rPr>
      </w:pPr>
      <w:r>
        <w:rPr>
          <w:rFonts w:ascii="Times New Roman" w:hAnsi="Times New Roman" w:cs="Times New Roman"/>
          <w:b/>
          <w:bCs/>
        </w:rPr>
        <w:t>The nature of r</w:t>
      </w:r>
      <w:r w:rsidR="00BC7D79" w:rsidRPr="00883029">
        <w:rPr>
          <w:rFonts w:ascii="Times New Roman" w:hAnsi="Times New Roman" w:cs="Times New Roman"/>
          <w:b/>
          <w:bCs/>
        </w:rPr>
        <w:t>eligious disagreement</w:t>
      </w:r>
      <w:r>
        <w:rPr>
          <w:rFonts w:ascii="Times New Roman" w:hAnsi="Times New Roman" w:cs="Times New Roman"/>
          <w:b/>
          <w:bCs/>
        </w:rPr>
        <w:t>s</w:t>
      </w:r>
    </w:p>
    <w:p w14:paraId="1DA12DD8" w14:textId="44C0A8C8" w:rsidR="00BE5E8A" w:rsidRDefault="00883029" w:rsidP="00883029">
      <w:pPr>
        <w:spacing w:after="120" w:line="360" w:lineRule="auto"/>
        <w:jc w:val="both"/>
        <w:rPr>
          <w:rFonts w:ascii="Times New Roman" w:hAnsi="Times New Roman" w:cs="Times New Roman"/>
        </w:rPr>
      </w:pPr>
      <w:r>
        <w:rPr>
          <w:rFonts w:ascii="Times New Roman" w:hAnsi="Times New Roman" w:cs="Times New Roman"/>
        </w:rPr>
        <w:t>Now, if we turn to religious disagreements</w:t>
      </w:r>
      <w:r w:rsidR="000F4BE1">
        <w:rPr>
          <w:rFonts w:ascii="Times New Roman" w:hAnsi="Times New Roman" w:cs="Times New Roman"/>
        </w:rPr>
        <w:t xml:space="preserve">, we need to realize that they </w:t>
      </w:r>
      <w:r w:rsidR="00C54ADA">
        <w:rPr>
          <w:rFonts w:ascii="Times New Roman" w:hAnsi="Times New Roman" w:cs="Times New Roman"/>
        </w:rPr>
        <w:t xml:space="preserve">too </w:t>
      </w:r>
      <w:r w:rsidR="000F4BE1">
        <w:rPr>
          <w:rFonts w:ascii="Times New Roman" w:hAnsi="Times New Roman" w:cs="Times New Roman"/>
        </w:rPr>
        <w:t>are of various kinds</w:t>
      </w:r>
      <w:r w:rsidR="00E8201C">
        <w:rPr>
          <w:rFonts w:ascii="Times New Roman" w:hAnsi="Times New Roman" w:cs="Times New Roman"/>
        </w:rPr>
        <w:t>, which match the tripartite account of disagreement we have introduced in general between “</w:t>
      </w:r>
      <w:proofErr w:type="spellStart"/>
      <w:r w:rsidR="00E8201C">
        <w:rPr>
          <w:rFonts w:ascii="Times New Roman" w:hAnsi="Times New Roman" w:cs="Times New Roman"/>
        </w:rPr>
        <w:t>intratheoretic</w:t>
      </w:r>
      <w:proofErr w:type="spellEnd"/>
      <w:r w:rsidR="00E8201C">
        <w:rPr>
          <w:rFonts w:ascii="Times New Roman" w:hAnsi="Times New Roman" w:cs="Times New Roman"/>
        </w:rPr>
        <w:t>”, “</w:t>
      </w:r>
      <w:proofErr w:type="spellStart"/>
      <w:r w:rsidR="00E8201C">
        <w:rPr>
          <w:rFonts w:ascii="Times New Roman" w:hAnsi="Times New Roman" w:cs="Times New Roman"/>
        </w:rPr>
        <w:t>intertheoretic</w:t>
      </w:r>
      <w:proofErr w:type="spellEnd"/>
      <w:r w:rsidR="00E8201C">
        <w:rPr>
          <w:rFonts w:ascii="Times New Roman" w:hAnsi="Times New Roman" w:cs="Times New Roman"/>
        </w:rPr>
        <w:t>” and “deep</w:t>
      </w:r>
      <w:r w:rsidR="00BE5E8A">
        <w:rPr>
          <w:rFonts w:ascii="Times New Roman" w:hAnsi="Times New Roman" w:cs="Times New Roman"/>
        </w:rPr>
        <w:t>”</w:t>
      </w:r>
      <w:r w:rsidR="000F4BE1">
        <w:rPr>
          <w:rFonts w:ascii="Times New Roman" w:hAnsi="Times New Roman" w:cs="Times New Roman"/>
        </w:rPr>
        <w:t xml:space="preserve">. </w:t>
      </w:r>
    </w:p>
    <w:p w14:paraId="16B77779" w14:textId="1FC4BEC1" w:rsidR="00BE5E8A" w:rsidRPr="00BE5E8A" w:rsidRDefault="00BE5E8A" w:rsidP="00D11855">
      <w:pPr>
        <w:pStyle w:val="ListParagraph"/>
        <w:numPr>
          <w:ilvl w:val="1"/>
          <w:numId w:val="7"/>
        </w:numPr>
        <w:spacing w:before="240" w:after="120" w:line="360" w:lineRule="auto"/>
        <w:jc w:val="both"/>
        <w:rPr>
          <w:rFonts w:ascii="Times New Roman" w:hAnsi="Times New Roman" w:cs="Times New Roman"/>
          <w:i/>
          <w:iCs/>
        </w:rPr>
      </w:pPr>
      <w:proofErr w:type="spellStart"/>
      <w:r w:rsidRPr="00BE5E8A">
        <w:rPr>
          <w:rFonts w:ascii="Times New Roman" w:hAnsi="Times New Roman" w:cs="Times New Roman"/>
          <w:i/>
          <w:iCs/>
        </w:rPr>
        <w:lastRenderedPageBreak/>
        <w:t>Intratheoretic</w:t>
      </w:r>
      <w:proofErr w:type="spellEnd"/>
      <w:r w:rsidRPr="00BE5E8A">
        <w:rPr>
          <w:rFonts w:ascii="Times New Roman" w:hAnsi="Times New Roman" w:cs="Times New Roman"/>
          <w:i/>
          <w:iCs/>
        </w:rPr>
        <w:t xml:space="preserve"> religious disagreement</w:t>
      </w:r>
    </w:p>
    <w:p w14:paraId="65F35911" w14:textId="10BEE4DE" w:rsidR="008C4FCA" w:rsidRDefault="000F4BE1" w:rsidP="008C4FCA">
      <w:pPr>
        <w:spacing w:after="120" w:line="360" w:lineRule="auto"/>
        <w:jc w:val="both"/>
        <w:rPr>
          <w:rFonts w:ascii="Times New Roman" w:hAnsi="Times New Roman" w:cs="Times New Roman"/>
        </w:rPr>
      </w:pPr>
      <w:r>
        <w:rPr>
          <w:rFonts w:ascii="Times New Roman" w:hAnsi="Times New Roman" w:cs="Times New Roman"/>
        </w:rPr>
        <w:t xml:space="preserve">There are </w:t>
      </w:r>
      <w:r w:rsidR="00BE5E8A">
        <w:rPr>
          <w:rFonts w:ascii="Times New Roman" w:hAnsi="Times New Roman" w:cs="Times New Roman"/>
        </w:rPr>
        <w:t>religious disagreements</w:t>
      </w:r>
      <w:r>
        <w:rPr>
          <w:rFonts w:ascii="Times New Roman" w:hAnsi="Times New Roman" w:cs="Times New Roman"/>
        </w:rPr>
        <w:t xml:space="preserve"> – like the one </w:t>
      </w:r>
      <w:r w:rsidR="000479C3">
        <w:rPr>
          <w:rFonts w:ascii="Times New Roman" w:hAnsi="Times New Roman" w:cs="Times New Roman"/>
        </w:rPr>
        <w:t xml:space="preserve">about the specific nature of Jesus </w:t>
      </w:r>
      <w:r w:rsidR="000518E4">
        <w:rPr>
          <w:rFonts w:ascii="Times New Roman" w:hAnsi="Times New Roman" w:cs="Times New Roman"/>
        </w:rPr>
        <w:t xml:space="preserve">Christ </w:t>
      </w:r>
      <w:r w:rsidR="00295D80">
        <w:rPr>
          <w:rFonts w:ascii="Times New Roman" w:hAnsi="Times New Roman" w:cs="Times New Roman"/>
        </w:rPr>
        <w:t xml:space="preserve">typified by the dispute between </w:t>
      </w:r>
      <w:proofErr w:type="spellStart"/>
      <w:r w:rsidR="00295D80">
        <w:rPr>
          <w:rFonts w:ascii="Times New Roman" w:hAnsi="Times New Roman" w:cs="Times New Roman"/>
        </w:rPr>
        <w:t>Niceans</w:t>
      </w:r>
      <w:proofErr w:type="spellEnd"/>
      <w:r w:rsidR="00295D80">
        <w:rPr>
          <w:rFonts w:ascii="Times New Roman" w:hAnsi="Times New Roman" w:cs="Times New Roman"/>
        </w:rPr>
        <w:t xml:space="preserve"> and Arians </w:t>
      </w:r>
      <w:r w:rsidR="000518E4">
        <w:rPr>
          <w:rFonts w:ascii="Times New Roman" w:hAnsi="Times New Roman" w:cs="Times New Roman"/>
        </w:rPr>
        <w:t xml:space="preserve">during the Council of </w:t>
      </w:r>
      <w:proofErr w:type="spellStart"/>
      <w:r w:rsidR="000518E4">
        <w:rPr>
          <w:rFonts w:ascii="Times New Roman" w:hAnsi="Times New Roman" w:cs="Times New Roman"/>
        </w:rPr>
        <w:t>Nicea</w:t>
      </w:r>
      <w:proofErr w:type="spellEnd"/>
      <w:r w:rsidR="000518E4">
        <w:rPr>
          <w:rFonts w:ascii="Times New Roman" w:hAnsi="Times New Roman" w:cs="Times New Roman"/>
        </w:rPr>
        <w:t xml:space="preserve"> </w:t>
      </w:r>
      <w:r w:rsidR="00DD4935">
        <w:rPr>
          <w:rFonts w:ascii="Times New Roman" w:hAnsi="Times New Roman" w:cs="Times New Roman"/>
        </w:rPr>
        <w:t xml:space="preserve">(325 C. E.) </w:t>
      </w:r>
      <w:r w:rsidR="000479C3">
        <w:rPr>
          <w:rFonts w:ascii="Times New Roman" w:hAnsi="Times New Roman" w:cs="Times New Roman"/>
        </w:rPr>
        <w:t xml:space="preserve">– internal to a given religion – Christianity </w:t>
      </w:r>
      <w:r w:rsidR="00E36502">
        <w:rPr>
          <w:rFonts w:ascii="Times New Roman" w:hAnsi="Times New Roman" w:cs="Times New Roman"/>
        </w:rPr>
        <w:t>–</w:t>
      </w:r>
      <w:r w:rsidR="000479C3">
        <w:rPr>
          <w:rFonts w:ascii="Times New Roman" w:hAnsi="Times New Roman" w:cs="Times New Roman"/>
        </w:rPr>
        <w:t xml:space="preserve"> </w:t>
      </w:r>
      <w:r w:rsidR="00E36502">
        <w:rPr>
          <w:rFonts w:ascii="Times New Roman" w:hAnsi="Times New Roman" w:cs="Times New Roman"/>
        </w:rPr>
        <w:t xml:space="preserve">which we may model </w:t>
      </w:r>
      <w:r w:rsidR="00FD24C8">
        <w:rPr>
          <w:rFonts w:ascii="Times New Roman" w:hAnsi="Times New Roman" w:cs="Times New Roman"/>
        </w:rPr>
        <w:t>along the lines of “</w:t>
      </w:r>
      <w:proofErr w:type="spellStart"/>
      <w:r w:rsidR="00C54ADA">
        <w:rPr>
          <w:rFonts w:ascii="Times New Roman" w:hAnsi="Times New Roman" w:cs="Times New Roman"/>
        </w:rPr>
        <w:t>intratheoretic</w:t>
      </w:r>
      <w:proofErr w:type="spellEnd"/>
      <w:r w:rsidR="00FD24C8">
        <w:rPr>
          <w:rFonts w:ascii="Times New Roman" w:hAnsi="Times New Roman" w:cs="Times New Roman"/>
        </w:rPr>
        <w:t xml:space="preserve">” </w:t>
      </w:r>
      <w:r w:rsidR="00330983">
        <w:rPr>
          <w:rFonts w:ascii="Times New Roman" w:hAnsi="Times New Roman" w:cs="Times New Roman"/>
        </w:rPr>
        <w:t>disagreements. The hinge that God exists is shared by the parties</w:t>
      </w:r>
      <w:r w:rsidR="00584342">
        <w:rPr>
          <w:rFonts w:ascii="Times New Roman" w:hAnsi="Times New Roman" w:cs="Times New Roman"/>
        </w:rPr>
        <w:t>,</w:t>
      </w:r>
      <w:r w:rsidR="000305D6">
        <w:rPr>
          <w:rStyle w:val="FootnoteReference"/>
          <w:rFonts w:ascii="Times New Roman" w:hAnsi="Times New Roman" w:cs="Times New Roman"/>
        </w:rPr>
        <w:footnoteReference w:id="12"/>
      </w:r>
      <w:r w:rsidR="00584342">
        <w:rPr>
          <w:rFonts w:ascii="Times New Roman" w:hAnsi="Times New Roman" w:cs="Times New Roman"/>
        </w:rPr>
        <w:t xml:space="preserve"> the Bible is </w:t>
      </w:r>
      <w:r w:rsidR="00F84E6F">
        <w:rPr>
          <w:rFonts w:ascii="Times New Roman" w:hAnsi="Times New Roman" w:cs="Times New Roman"/>
        </w:rPr>
        <w:t>also</w:t>
      </w:r>
      <w:r w:rsidR="00584342">
        <w:rPr>
          <w:rFonts w:ascii="Times New Roman" w:hAnsi="Times New Roman" w:cs="Times New Roman"/>
        </w:rPr>
        <w:t xml:space="preserve"> shared </w:t>
      </w:r>
      <w:r w:rsidR="00F84E6F">
        <w:rPr>
          <w:rFonts w:ascii="Times New Roman" w:hAnsi="Times New Roman" w:cs="Times New Roman"/>
        </w:rPr>
        <w:t xml:space="preserve">as the </w:t>
      </w:r>
      <w:r w:rsidR="00584342">
        <w:rPr>
          <w:rFonts w:ascii="Times New Roman" w:hAnsi="Times New Roman" w:cs="Times New Roman"/>
        </w:rPr>
        <w:t>source of normative authority</w:t>
      </w:r>
      <w:r w:rsidR="004C5C3E">
        <w:rPr>
          <w:rFonts w:ascii="Times New Roman" w:hAnsi="Times New Roman" w:cs="Times New Roman"/>
        </w:rPr>
        <w:t xml:space="preserve"> – that is the m</w:t>
      </w:r>
      <w:r w:rsidR="00B8572A">
        <w:rPr>
          <w:rFonts w:ascii="Times New Roman" w:hAnsi="Times New Roman" w:cs="Times New Roman"/>
        </w:rPr>
        <w:t xml:space="preserve">ethod, or one of the methods </w:t>
      </w:r>
      <w:r w:rsidR="003D3D0F">
        <w:rPr>
          <w:rFonts w:ascii="Times New Roman" w:hAnsi="Times New Roman" w:cs="Times New Roman"/>
        </w:rPr>
        <w:t xml:space="preserve">both </w:t>
      </w:r>
      <w:r w:rsidR="00B8572A">
        <w:rPr>
          <w:rFonts w:ascii="Times New Roman" w:hAnsi="Times New Roman" w:cs="Times New Roman"/>
        </w:rPr>
        <w:t xml:space="preserve">parties to the dispute agree to appeal to </w:t>
      </w:r>
      <w:proofErr w:type="spellStart"/>
      <w:r w:rsidR="006B3686">
        <w:rPr>
          <w:rFonts w:ascii="Times New Roman" w:hAnsi="Times New Roman" w:cs="Times New Roman"/>
        </w:rPr>
        <w:t>to</w:t>
      </w:r>
      <w:proofErr w:type="spellEnd"/>
      <w:r w:rsidR="006B3686">
        <w:rPr>
          <w:rFonts w:ascii="Times New Roman" w:hAnsi="Times New Roman" w:cs="Times New Roman"/>
        </w:rPr>
        <w:t xml:space="preserve"> resolve their </w:t>
      </w:r>
      <w:r w:rsidR="003D3D0F">
        <w:rPr>
          <w:rFonts w:ascii="Times New Roman" w:hAnsi="Times New Roman" w:cs="Times New Roman"/>
        </w:rPr>
        <w:t>disagreement</w:t>
      </w:r>
      <w:r w:rsidR="006B3686">
        <w:rPr>
          <w:rFonts w:ascii="Times New Roman" w:hAnsi="Times New Roman" w:cs="Times New Roman"/>
        </w:rPr>
        <w:t xml:space="preserve"> –</w:t>
      </w:r>
      <w:r w:rsidR="00584342">
        <w:rPr>
          <w:rFonts w:ascii="Times New Roman" w:hAnsi="Times New Roman" w:cs="Times New Roman"/>
        </w:rPr>
        <w:t xml:space="preserve">, and </w:t>
      </w:r>
      <w:r w:rsidR="00A02471">
        <w:rPr>
          <w:rFonts w:ascii="Times New Roman" w:hAnsi="Times New Roman" w:cs="Times New Roman"/>
        </w:rPr>
        <w:t xml:space="preserve">the disagreement pertains </w:t>
      </w:r>
      <w:r w:rsidR="00BF7ABA">
        <w:rPr>
          <w:rFonts w:ascii="Times New Roman" w:hAnsi="Times New Roman" w:cs="Times New Roman"/>
        </w:rPr>
        <w:t xml:space="preserve">to </w:t>
      </w:r>
      <w:r w:rsidR="00A02471">
        <w:rPr>
          <w:rFonts w:ascii="Times New Roman" w:hAnsi="Times New Roman" w:cs="Times New Roman"/>
        </w:rPr>
        <w:t>the different interpretation of what we may find written in such a source.</w:t>
      </w:r>
      <w:r w:rsidR="00E45E2A">
        <w:rPr>
          <w:rFonts w:ascii="Times New Roman" w:hAnsi="Times New Roman" w:cs="Times New Roman"/>
        </w:rPr>
        <w:t xml:space="preserve"> Different </w:t>
      </w:r>
      <w:r w:rsidR="00F33D24">
        <w:rPr>
          <w:rFonts w:ascii="Times New Roman" w:hAnsi="Times New Roman" w:cs="Times New Roman"/>
        </w:rPr>
        <w:t>passages in the Bible may be appealed to, translation problems may arise</w:t>
      </w:r>
      <w:r w:rsidR="00777892">
        <w:rPr>
          <w:rFonts w:ascii="Times New Roman" w:hAnsi="Times New Roman" w:cs="Times New Roman"/>
        </w:rPr>
        <w:t>;</w:t>
      </w:r>
      <w:r w:rsidR="00F33D24">
        <w:rPr>
          <w:rFonts w:ascii="Times New Roman" w:hAnsi="Times New Roman" w:cs="Times New Roman"/>
        </w:rPr>
        <w:t xml:space="preserve"> yet, at least in principle, the </w:t>
      </w:r>
      <w:r w:rsidR="00EE5F19">
        <w:rPr>
          <w:rFonts w:ascii="Times New Roman" w:hAnsi="Times New Roman" w:cs="Times New Roman"/>
        </w:rPr>
        <w:t>disagreement</w:t>
      </w:r>
      <w:r w:rsidR="00F33D24">
        <w:rPr>
          <w:rFonts w:ascii="Times New Roman" w:hAnsi="Times New Roman" w:cs="Times New Roman"/>
        </w:rPr>
        <w:t xml:space="preserve"> is resolvable </w:t>
      </w:r>
      <w:r w:rsidR="00CB6130">
        <w:rPr>
          <w:rFonts w:ascii="Times New Roman" w:hAnsi="Times New Roman" w:cs="Times New Roman"/>
        </w:rPr>
        <w:t>when</w:t>
      </w:r>
      <w:r w:rsidR="00F33D24">
        <w:rPr>
          <w:rFonts w:ascii="Times New Roman" w:hAnsi="Times New Roman" w:cs="Times New Roman"/>
        </w:rPr>
        <w:t xml:space="preserve"> the evidence that </w:t>
      </w:r>
      <w:r w:rsidR="00161664">
        <w:rPr>
          <w:rFonts w:ascii="Times New Roman" w:hAnsi="Times New Roman" w:cs="Times New Roman"/>
        </w:rPr>
        <w:t>the parties may marshal in favor of their respective positions</w:t>
      </w:r>
      <w:r w:rsidR="00CB6130">
        <w:rPr>
          <w:rFonts w:ascii="Times New Roman" w:hAnsi="Times New Roman" w:cs="Times New Roman"/>
        </w:rPr>
        <w:t xml:space="preserve"> reaches a tipping point</w:t>
      </w:r>
      <w:r w:rsidR="00161664">
        <w:rPr>
          <w:rFonts w:ascii="Times New Roman" w:hAnsi="Times New Roman" w:cs="Times New Roman"/>
        </w:rPr>
        <w:t>.</w:t>
      </w:r>
      <w:r w:rsidR="00C54ADA">
        <w:rPr>
          <w:rStyle w:val="FootnoteReference"/>
          <w:rFonts w:ascii="Times New Roman" w:hAnsi="Times New Roman" w:cs="Times New Roman"/>
        </w:rPr>
        <w:footnoteReference w:id="13"/>
      </w:r>
    </w:p>
    <w:p w14:paraId="5ED32C3D" w14:textId="580C1A2C" w:rsidR="008C4FCA" w:rsidRPr="008C4FCA" w:rsidRDefault="008C4FCA" w:rsidP="008C4FCA">
      <w:pPr>
        <w:pStyle w:val="ListParagraph"/>
        <w:spacing w:before="240" w:after="120" w:line="360" w:lineRule="auto"/>
        <w:jc w:val="both"/>
        <w:rPr>
          <w:rFonts w:ascii="Times New Roman" w:hAnsi="Times New Roman" w:cs="Times New Roman"/>
          <w:i/>
          <w:iCs/>
        </w:rPr>
      </w:pPr>
      <w:r w:rsidRPr="008C4FCA">
        <w:rPr>
          <w:rFonts w:ascii="Times New Roman" w:hAnsi="Times New Roman" w:cs="Times New Roman"/>
          <w:i/>
          <w:iCs/>
        </w:rPr>
        <w:t xml:space="preserve">2.2 </w:t>
      </w:r>
      <w:r w:rsidR="0095306C" w:rsidRPr="008C4FCA">
        <w:rPr>
          <w:rFonts w:ascii="Times New Roman" w:hAnsi="Times New Roman" w:cs="Times New Roman"/>
          <w:i/>
          <w:iCs/>
        </w:rPr>
        <w:t>Deep religious disagreement</w:t>
      </w:r>
    </w:p>
    <w:p w14:paraId="23241A27" w14:textId="4E14B489" w:rsidR="008806B7" w:rsidRPr="00C8417D" w:rsidRDefault="00BF7ABA" w:rsidP="00BB1BD2">
      <w:pPr>
        <w:spacing w:after="120" w:line="360" w:lineRule="auto"/>
        <w:jc w:val="both"/>
        <w:rPr>
          <w:rFonts w:ascii="Times New Roman" w:hAnsi="Times New Roman" w:cs="Times New Roman"/>
          <w:iCs/>
        </w:rPr>
      </w:pPr>
      <w:r w:rsidRPr="00BB1BD2">
        <w:rPr>
          <w:rFonts w:ascii="Times New Roman" w:hAnsi="Times New Roman" w:cs="Times New Roman"/>
        </w:rPr>
        <w:t xml:space="preserve">The disagreement between a believer and a non-believer, in contrast, is a disagreement </w:t>
      </w:r>
      <w:r w:rsidR="00EB2C8C" w:rsidRPr="00BB1BD2">
        <w:rPr>
          <w:rFonts w:ascii="Times New Roman" w:hAnsi="Times New Roman" w:cs="Times New Roman"/>
        </w:rPr>
        <w:t>about the hinge “God exists”</w:t>
      </w:r>
      <w:r w:rsidR="00692097">
        <w:rPr>
          <w:rFonts w:ascii="Times New Roman" w:hAnsi="Times New Roman" w:cs="Times New Roman"/>
        </w:rPr>
        <w:t>, in the sense that the former accepts it while the latter denies it.</w:t>
      </w:r>
      <w:r w:rsidR="00366702" w:rsidRPr="00BB1BD2">
        <w:rPr>
          <w:rFonts w:ascii="Times New Roman" w:hAnsi="Times New Roman" w:cs="Times New Roman"/>
        </w:rPr>
        <w:t xml:space="preserve"> In a hinge-theoretic framework which </w:t>
      </w:r>
      <w:r w:rsidR="004B2802" w:rsidRPr="00BB1BD2">
        <w:rPr>
          <w:rFonts w:ascii="Times New Roman" w:hAnsi="Times New Roman" w:cs="Times New Roman"/>
        </w:rPr>
        <w:t xml:space="preserve">aligns with </w:t>
      </w:r>
      <w:r w:rsidR="008806B7" w:rsidRPr="00BB1BD2">
        <w:rPr>
          <w:rFonts w:ascii="Times New Roman" w:hAnsi="Times New Roman" w:cs="Times New Roman"/>
        </w:rPr>
        <w:t>Wittgenstein’s own treatment of religion</w:t>
      </w:r>
      <w:r w:rsidR="004B2802" w:rsidRPr="00BB1BD2">
        <w:rPr>
          <w:rFonts w:ascii="Times New Roman" w:hAnsi="Times New Roman" w:cs="Times New Roman"/>
        </w:rPr>
        <w:t>,</w:t>
      </w:r>
      <w:r w:rsidR="008806B7" w:rsidRPr="00BB1BD2">
        <w:rPr>
          <w:rStyle w:val="FootnoteReference"/>
          <w:rFonts w:ascii="Times New Roman" w:hAnsi="Times New Roman" w:cs="Times New Roman"/>
        </w:rPr>
        <w:footnoteReference w:id="14"/>
      </w:r>
      <w:r w:rsidR="008806B7" w:rsidRPr="00BB1BD2">
        <w:rPr>
          <w:rFonts w:ascii="Times New Roman" w:hAnsi="Times New Roman" w:cs="Times New Roman"/>
        </w:rPr>
        <w:t xml:space="preserve"> there are no non-circular or </w:t>
      </w:r>
      <w:r w:rsidR="008806B7" w:rsidRPr="00BB1BD2">
        <w:rPr>
          <w:rFonts w:ascii="Times New Roman" w:hAnsi="Times New Roman" w:cs="Times New Roman"/>
          <w:i/>
        </w:rPr>
        <w:t>non-question begging reasons</w:t>
      </w:r>
      <w:r w:rsidR="008806B7" w:rsidRPr="00BB1BD2">
        <w:rPr>
          <w:rFonts w:ascii="Times New Roman" w:hAnsi="Times New Roman" w:cs="Times New Roman"/>
        </w:rPr>
        <w:t xml:space="preserve"> – or evidence – that can be adduced to decide the </w:t>
      </w:r>
      <w:r w:rsidR="008806B7" w:rsidRPr="00BB1BD2">
        <w:rPr>
          <w:rFonts w:ascii="Times New Roman" w:hAnsi="Times New Roman" w:cs="Times New Roman"/>
        </w:rPr>
        <w:lastRenderedPageBreak/>
        <w:t>issue of God’s existence. (Or</w:t>
      </w:r>
      <w:r w:rsidR="00F66D25">
        <w:rPr>
          <w:rFonts w:ascii="Times New Roman" w:hAnsi="Times New Roman" w:cs="Times New Roman"/>
        </w:rPr>
        <w:t>,</w:t>
      </w:r>
      <w:r w:rsidR="008806B7" w:rsidRPr="00BB1BD2">
        <w:rPr>
          <w:rFonts w:ascii="Times New Roman" w:hAnsi="Times New Roman" w:cs="Times New Roman"/>
        </w:rPr>
        <w:t xml:space="preserve"> at the very least</w:t>
      </w:r>
      <w:r w:rsidR="00F66D25">
        <w:rPr>
          <w:rFonts w:ascii="Times New Roman" w:hAnsi="Times New Roman" w:cs="Times New Roman"/>
        </w:rPr>
        <w:t>,</w:t>
      </w:r>
      <w:r w:rsidR="008806B7" w:rsidRPr="00BB1BD2">
        <w:rPr>
          <w:rFonts w:ascii="Times New Roman" w:hAnsi="Times New Roman" w:cs="Times New Roman"/>
        </w:rPr>
        <w:t xml:space="preserve"> one’s reasons are no stronger than one’s opponent’s)</w:t>
      </w:r>
      <w:r w:rsidR="00F713EA" w:rsidRPr="00BB1BD2">
        <w:rPr>
          <w:rFonts w:ascii="Times New Roman" w:hAnsi="Times New Roman" w:cs="Times New Roman"/>
        </w:rPr>
        <w:t xml:space="preserve">, and for </w:t>
      </w:r>
      <w:r w:rsidR="008806B7" w:rsidRPr="00BB1BD2">
        <w:rPr>
          <w:rFonts w:ascii="Times New Roman" w:hAnsi="Times New Roman" w:cs="Times New Roman"/>
          <w:i/>
        </w:rPr>
        <w:t>principled reasons.</w:t>
      </w:r>
      <w:r w:rsidR="00C8417D" w:rsidRPr="00E02B0D">
        <w:rPr>
          <w:rStyle w:val="FootnoteReference"/>
          <w:rFonts w:ascii="Times New Roman" w:hAnsi="Times New Roman" w:cs="Times New Roman"/>
          <w:iCs/>
        </w:rPr>
        <w:footnoteReference w:id="15"/>
      </w:r>
    </w:p>
    <w:p w14:paraId="3B0C1732" w14:textId="2A24FC2A" w:rsidR="008806B7" w:rsidRPr="00BB1BD2" w:rsidRDefault="008806B7" w:rsidP="00BB1BD2">
      <w:pPr>
        <w:spacing w:after="120" w:line="360" w:lineRule="auto"/>
        <w:jc w:val="both"/>
        <w:rPr>
          <w:rFonts w:ascii="Times New Roman" w:hAnsi="Times New Roman" w:cs="Times New Roman"/>
        </w:rPr>
      </w:pPr>
      <w:r w:rsidRPr="00BB1BD2">
        <w:rPr>
          <w:rFonts w:ascii="Times New Roman" w:hAnsi="Times New Roman" w:cs="Times New Roman"/>
        </w:rPr>
        <w:t xml:space="preserve">To illustrate: if the religious believer appeals to the Bible as evidence in </w:t>
      </w:r>
      <w:r w:rsidR="00AC5E12" w:rsidRPr="00BB1BD2">
        <w:rPr>
          <w:rFonts w:ascii="Times New Roman" w:hAnsi="Times New Roman" w:cs="Times New Roman"/>
        </w:rPr>
        <w:t>favor</w:t>
      </w:r>
      <w:r w:rsidRPr="00BB1BD2">
        <w:rPr>
          <w:rFonts w:ascii="Times New Roman" w:hAnsi="Times New Roman" w:cs="Times New Roman"/>
        </w:rPr>
        <w:t xml:space="preserve"> of God’s existence, then the non-believer will be quick to point out that the Bible may exert that epistemic authority only if it is the revealed word of God, which presupposes trusting in God’s existence already. Thus, the appeal to the Bible to prove the existence of God is question-begging against the non-believer. Yet, the believer would insist that the Bible is not just like any other piece of historical evidence, the reliability of which may be questioned. Rather, it is the word of God and should thus be taken at face value as manifesting God’s existence, word and will. Hence, denying or being agnostic about that is question-begging against the believer.</w:t>
      </w:r>
    </w:p>
    <w:p w14:paraId="59E2A883" w14:textId="12E83E5B" w:rsidR="008806B7" w:rsidRPr="005800A1" w:rsidRDefault="008806B7" w:rsidP="005800A1">
      <w:pPr>
        <w:spacing w:after="120" w:line="360" w:lineRule="auto"/>
        <w:jc w:val="both"/>
        <w:rPr>
          <w:rFonts w:ascii="Times New Roman" w:hAnsi="Times New Roman" w:cs="Times New Roman"/>
        </w:rPr>
      </w:pPr>
      <w:r w:rsidRPr="00BB1BD2">
        <w:rPr>
          <w:rFonts w:ascii="Times New Roman" w:hAnsi="Times New Roman" w:cs="Times New Roman"/>
        </w:rPr>
        <w:t>Furthermore, a believer and a non-believer could agree on their account of Nature and its efficient causes (as it may happen between two physicists, for instance)</w:t>
      </w:r>
      <w:r w:rsidR="0008139C">
        <w:rPr>
          <w:rFonts w:ascii="Times New Roman" w:hAnsi="Times New Roman" w:cs="Times New Roman"/>
        </w:rPr>
        <w:t>.</w:t>
      </w:r>
      <w:r w:rsidR="00BF4E4D">
        <w:rPr>
          <w:rStyle w:val="FootnoteReference"/>
          <w:rFonts w:ascii="Times New Roman" w:hAnsi="Times New Roman" w:cs="Times New Roman"/>
        </w:rPr>
        <w:footnoteReference w:id="16"/>
      </w:r>
      <w:r w:rsidRPr="00BB1BD2">
        <w:rPr>
          <w:rFonts w:ascii="Times New Roman" w:hAnsi="Times New Roman" w:cs="Times New Roman"/>
        </w:rPr>
        <w:t xml:space="preserve"> </w:t>
      </w:r>
      <w:r w:rsidR="0008139C">
        <w:rPr>
          <w:rFonts w:ascii="Times New Roman" w:hAnsi="Times New Roman" w:cs="Times New Roman"/>
        </w:rPr>
        <w:t>Still,</w:t>
      </w:r>
      <w:r w:rsidRPr="00BB1BD2">
        <w:rPr>
          <w:rFonts w:ascii="Times New Roman" w:hAnsi="Times New Roman" w:cs="Times New Roman"/>
        </w:rPr>
        <w:t xml:space="preserve"> the former may appeal to a different kind of evidence – what, following </w:t>
      </w:r>
      <w:r w:rsidRPr="00FB2082">
        <w:rPr>
          <w:rFonts w:ascii="Times New Roman" w:hAnsi="Times New Roman" w:cs="Times New Roman"/>
        </w:rPr>
        <w:t xml:space="preserve">Blaise Pascal, in his </w:t>
      </w:r>
      <w:r w:rsidRPr="00FB2082">
        <w:rPr>
          <w:rFonts w:ascii="Times New Roman" w:hAnsi="Times New Roman" w:cs="Times New Roman"/>
          <w:i/>
        </w:rPr>
        <w:t>Pensées</w:t>
      </w:r>
      <w:r w:rsidRPr="00FB2082">
        <w:rPr>
          <w:rFonts w:ascii="Times New Roman" w:hAnsi="Times New Roman" w:cs="Times New Roman"/>
        </w:rPr>
        <w:t>, we</w:t>
      </w:r>
      <w:r w:rsidRPr="00BB1BD2">
        <w:rPr>
          <w:rFonts w:ascii="Times New Roman" w:hAnsi="Times New Roman" w:cs="Times New Roman"/>
        </w:rPr>
        <w:t xml:space="preserve"> may call “the evidence of the heart” (277, 282), which is an ensemble of experiences and feelings – to support their faith, as a direct manifestation of God and his benevolence. A non-believer need not deny the </w:t>
      </w:r>
      <w:r w:rsidRPr="005800A1">
        <w:rPr>
          <w:rFonts w:ascii="Times New Roman" w:hAnsi="Times New Roman" w:cs="Times New Roman"/>
        </w:rPr>
        <w:t>kinds of experience salient to the believer, but would likely consider them as merely psychological, rather than revelatory in kind. For those experiences to count as manifestations of God, God’s existence will have to be assumed, and this is clearly question-begging against the non-believer. The believer, however, will insist that they are tangible manifestations of God’s existence and so the non-believer’s denial will be question-begging against the believer.</w:t>
      </w:r>
      <w:r w:rsidR="00AA0248">
        <w:rPr>
          <w:rStyle w:val="FootnoteReference"/>
          <w:rFonts w:ascii="Times New Roman" w:hAnsi="Times New Roman" w:cs="Times New Roman"/>
        </w:rPr>
        <w:footnoteReference w:id="17"/>
      </w:r>
    </w:p>
    <w:p w14:paraId="67679123" w14:textId="77777777" w:rsidR="008806B7" w:rsidRPr="005800A1" w:rsidRDefault="008806B7" w:rsidP="005800A1">
      <w:pPr>
        <w:spacing w:after="120" w:line="360" w:lineRule="auto"/>
        <w:jc w:val="both"/>
        <w:rPr>
          <w:rFonts w:ascii="Times New Roman" w:hAnsi="Times New Roman" w:cs="Times New Roman"/>
        </w:rPr>
      </w:pPr>
      <w:r w:rsidRPr="005800A1">
        <w:rPr>
          <w:rFonts w:ascii="Times New Roman" w:hAnsi="Times New Roman" w:cs="Times New Roman"/>
        </w:rPr>
        <w:lastRenderedPageBreak/>
        <w:t xml:space="preserve">Finally, a believer may appeal to God as what guarantees the possibility of providing an answer to fundamental questions about </w:t>
      </w:r>
      <w:r w:rsidRPr="005800A1">
        <w:rPr>
          <w:rFonts w:ascii="Times New Roman" w:hAnsi="Times New Roman" w:cs="Times New Roman"/>
          <w:i/>
        </w:rPr>
        <w:t>final causes</w:t>
      </w:r>
      <w:r w:rsidRPr="005800A1">
        <w:rPr>
          <w:rFonts w:ascii="Times New Roman" w:hAnsi="Times New Roman" w:cs="Times New Roman"/>
        </w:rPr>
        <w:t xml:space="preserve">, such as “Why is there something rather than nothing?”, “Why do I exist?”, “Why do living creatures have to suffer?”, etc. And here the non-believer will simply be indifferent to such questions: either these why-questions are interpreted as questions about the </w:t>
      </w:r>
      <w:r w:rsidRPr="005800A1">
        <w:rPr>
          <w:rFonts w:ascii="Times New Roman" w:hAnsi="Times New Roman" w:cs="Times New Roman"/>
          <w:i/>
        </w:rPr>
        <w:t>efficient</w:t>
      </w:r>
      <w:r w:rsidRPr="005800A1">
        <w:rPr>
          <w:rFonts w:ascii="Times New Roman" w:hAnsi="Times New Roman" w:cs="Times New Roman"/>
        </w:rPr>
        <w:t xml:space="preserve"> </w:t>
      </w:r>
      <w:r w:rsidRPr="005800A1">
        <w:rPr>
          <w:rFonts w:ascii="Times New Roman" w:hAnsi="Times New Roman" w:cs="Times New Roman"/>
          <w:i/>
        </w:rPr>
        <w:t>causes</w:t>
      </w:r>
      <w:r w:rsidRPr="005800A1">
        <w:rPr>
          <w:rFonts w:ascii="Times New Roman" w:hAnsi="Times New Roman" w:cs="Times New Roman"/>
        </w:rPr>
        <w:t xml:space="preserve"> of the universe, our own existence, or the existence of pain; or else they have no right of citizenship in their worldview and would be question-begging insofar as they would be interpreted as calling for </w:t>
      </w:r>
      <w:r w:rsidRPr="005800A1">
        <w:rPr>
          <w:rFonts w:ascii="Times New Roman" w:hAnsi="Times New Roman" w:cs="Times New Roman"/>
          <w:i/>
        </w:rPr>
        <w:t>transcendental</w:t>
      </w:r>
      <w:r w:rsidRPr="005800A1">
        <w:rPr>
          <w:rFonts w:ascii="Times New Roman" w:hAnsi="Times New Roman" w:cs="Times New Roman"/>
        </w:rPr>
        <w:t xml:space="preserve"> final causes. Yet, the believer will insist that there is no reason to confine oneself only to efficient and non-transcendental final causes. Thus, the non-believer’s position is question-begging with respect to the believer.</w:t>
      </w:r>
    </w:p>
    <w:p w14:paraId="0B37ECF8" w14:textId="74EEC43E" w:rsidR="008806B7" w:rsidRPr="005800A1" w:rsidRDefault="008806B7" w:rsidP="005800A1">
      <w:pPr>
        <w:spacing w:after="120" w:line="360" w:lineRule="auto"/>
        <w:jc w:val="both"/>
        <w:rPr>
          <w:rFonts w:ascii="Times New Roman" w:hAnsi="Times New Roman" w:cs="Times New Roman"/>
        </w:rPr>
      </w:pPr>
      <w:r w:rsidRPr="005800A1">
        <w:rPr>
          <w:rFonts w:ascii="Times New Roman" w:hAnsi="Times New Roman" w:cs="Times New Roman"/>
        </w:rPr>
        <w:t xml:space="preserve">In short, in this case the absence of reasons or evidence that could be used to (epistemically) rationally resolve the disagreement is not a contingent fact, due to one’s positioning in history, or in the “knowledge economy”, where reasons and evidence are often possessed only by specific individuals, groups or even cultures, often insulated from one another, yet shareable in principle at least. </w:t>
      </w:r>
      <w:bookmarkStart w:id="0" w:name="_Hlk143393367"/>
      <w:r w:rsidRPr="005800A1">
        <w:rPr>
          <w:rFonts w:ascii="Times New Roman" w:hAnsi="Times New Roman" w:cs="Times New Roman"/>
        </w:rPr>
        <w:t xml:space="preserve">Rather, the absence of such reasons or evidence is a necessary feature of </w:t>
      </w:r>
      <w:proofErr w:type="gramStart"/>
      <w:r w:rsidRPr="005800A1">
        <w:rPr>
          <w:rFonts w:ascii="Times New Roman" w:hAnsi="Times New Roman" w:cs="Times New Roman"/>
        </w:rPr>
        <w:t>the disagreement</w:t>
      </w:r>
      <w:proofErr w:type="gramEnd"/>
      <w:r w:rsidRPr="005800A1">
        <w:rPr>
          <w:rFonts w:ascii="Times New Roman" w:hAnsi="Times New Roman" w:cs="Times New Roman"/>
        </w:rPr>
        <w:t>, since those reasons would be question-begging against one’s opponents, or no stronger than theirs and not further improvable, or indeed would have no place within the other party’s worldview. Thus, calling the ensemble of hinges – properly so-regarded – a “</w:t>
      </w:r>
      <w:r w:rsidRPr="005800A1">
        <w:rPr>
          <w:rFonts w:ascii="Times New Roman" w:hAnsi="Times New Roman" w:cs="Times New Roman"/>
          <w:i/>
        </w:rPr>
        <w:t>picture</w:t>
      </w:r>
      <w:r w:rsidRPr="005800A1">
        <w:rPr>
          <w:rFonts w:ascii="Times New Roman" w:hAnsi="Times New Roman" w:cs="Times New Roman"/>
        </w:rPr>
        <w:t xml:space="preserve">” of the world (OC 93-94) is apposite: we are not and cannot be rationally convinced to go over to different hinges. </w:t>
      </w:r>
      <w:bookmarkEnd w:id="0"/>
      <w:r w:rsidRPr="005800A1">
        <w:rPr>
          <w:rFonts w:ascii="Times New Roman" w:hAnsi="Times New Roman" w:cs="Times New Roman"/>
        </w:rPr>
        <w:t xml:space="preserve">Either we </w:t>
      </w:r>
      <w:r w:rsidRPr="005800A1">
        <w:rPr>
          <w:rFonts w:ascii="Times New Roman" w:hAnsi="Times New Roman" w:cs="Times New Roman"/>
          <w:i/>
        </w:rPr>
        <w:t>see</w:t>
      </w:r>
      <w:r w:rsidRPr="005800A1">
        <w:rPr>
          <w:rFonts w:ascii="Times New Roman" w:hAnsi="Times New Roman" w:cs="Times New Roman"/>
        </w:rPr>
        <w:t xml:space="preserve"> things a certain way or we don’t. Only a kind of </w:t>
      </w:r>
      <w:r w:rsidRPr="005800A1">
        <w:rPr>
          <w:rFonts w:ascii="Times New Roman" w:hAnsi="Times New Roman" w:cs="Times New Roman"/>
          <w:i/>
        </w:rPr>
        <w:t>conversion</w:t>
      </w:r>
      <w:r w:rsidRPr="005800A1">
        <w:rPr>
          <w:rFonts w:ascii="Times New Roman" w:hAnsi="Times New Roman" w:cs="Times New Roman"/>
        </w:rPr>
        <w:t xml:space="preserve"> </w:t>
      </w:r>
      <w:r w:rsidR="00230788">
        <w:rPr>
          <w:rFonts w:ascii="Times New Roman" w:hAnsi="Times New Roman" w:cs="Times New Roman"/>
        </w:rPr>
        <w:t xml:space="preserve">– that is, a change in how we </w:t>
      </w:r>
      <w:r w:rsidR="00183B3A">
        <w:rPr>
          <w:rFonts w:ascii="Times New Roman" w:hAnsi="Times New Roman" w:cs="Times New Roman"/>
        </w:rPr>
        <w:t>look at</w:t>
      </w:r>
      <w:r w:rsidR="00230788">
        <w:rPr>
          <w:rFonts w:ascii="Times New Roman" w:hAnsi="Times New Roman" w:cs="Times New Roman"/>
        </w:rPr>
        <w:t xml:space="preserve"> </w:t>
      </w:r>
      <w:r w:rsidR="007A2F7C">
        <w:rPr>
          <w:rFonts w:ascii="Times New Roman" w:hAnsi="Times New Roman" w:cs="Times New Roman"/>
        </w:rPr>
        <w:t xml:space="preserve">the very same facts which were already before our eyes – </w:t>
      </w:r>
      <w:r w:rsidRPr="005800A1">
        <w:rPr>
          <w:rFonts w:ascii="Times New Roman" w:hAnsi="Times New Roman" w:cs="Times New Roman"/>
        </w:rPr>
        <w:t xml:space="preserve">could bring us to </w:t>
      </w:r>
      <w:r w:rsidRPr="005800A1">
        <w:rPr>
          <w:rFonts w:ascii="Times New Roman" w:hAnsi="Times New Roman" w:cs="Times New Roman"/>
          <w:i/>
        </w:rPr>
        <w:t>see</w:t>
      </w:r>
      <w:r w:rsidRPr="005800A1">
        <w:rPr>
          <w:rFonts w:ascii="Times New Roman" w:hAnsi="Times New Roman" w:cs="Times New Roman"/>
        </w:rPr>
        <w:t xml:space="preserve"> things differently.</w:t>
      </w:r>
      <w:r w:rsidR="00F82DC4">
        <w:rPr>
          <w:rStyle w:val="FootnoteReference"/>
          <w:rFonts w:ascii="Times New Roman" w:hAnsi="Times New Roman" w:cs="Times New Roman"/>
        </w:rPr>
        <w:footnoteReference w:id="18"/>
      </w:r>
    </w:p>
    <w:p w14:paraId="1970392C" w14:textId="4E9DA3BF" w:rsidR="00DA4D93" w:rsidRPr="005800A1" w:rsidRDefault="00DA4D93" w:rsidP="00C01397">
      <w:pPr>
        <w:pStyle w:val="ListParagraph"/>
        <w:spacing w:before="240" w:after="120" w:line="360" w:lineRule="auto"/>
        <w:jc w:val="both"/>
        <w:rPr>
          <w:rFonts w:ascii="Times New Roman" w:hAnsi="Times New Roman" w:cs="Times New Roman"/>
          <w:i/>
          <w:iCs/>
        </w:rPr>
      </w:pPr>
      <w:r w:rsidRPr="005800A1">
        <w:rPr>
          <w:rFonts w:ascii="Times New Roman" w:hAnsi="Times New Roman" w:cs="Times New Roman"/>
          <w:i/>
          <w:iCs/>
        </w:rPr>
        <w:t xml:space="preserve">2.3 </w:t>
      </w:r>
      <w:proofErr w:type="spellStart"/>
      <w:r w:rsidRPr="005800A1">
        <w:rPr>
          <w:rFonts w:ascii="Times New Roman" w:hAnsi="Times New Roman" w:cs="Times New Roman"/>
          <w:i/>
          <w:iCs/>
        </w:rPr>
        <w:t>Intertheoretic</w:t>
      </w:r>
      <w:proofErr w:type="spellEnd"/>
      <w:r w:rsidRPr="005800A1">
        <w:rPr>
          <w:rFonts w:ascii="Times New Roman" w:hAnsi="Times New Roman" w:cs="Times New Roman"/>
          <w:i/>
          <w:iCs/>
        </w:rPr>
        <w:t xml:space="preserve"> religious disagreement</w:t>
      </w:r>
    </w:p>
    <w:p w14:paraId="33B2FF16" w14:textId="3C8EBD59" w:rsidR="008046F3" w:rsidRDefault="00DA4D93" w:rsidP="005800A1">
      <w:pPr>
        <w:spacing w:after="120" w:line="360" w:lineRule="auto"/>
        <w:jc w:val="both"/>
        <w:rPr>
          <w:rFonts w:ascii="Times New Roman" w:hAnsi="Times New Roman" w:cs="Times New Roman"/>
        </w:rPr>
      </w:pPr>
      <w:r w:rsidRPr="005800A1">
        <w:rPr>
          <w:rFonts w:ascii="Times New Roman" w:hAnsi="Times New Roman" w:cs="Times New Roman"/>
        </w:rPr>
        <w:t xml:space="preserve">There is, finally, a third kind of religious disagreement, typified by many cases of </w:t>
      </w:r>
      <w:r w:rsidR="003C3960" w:rsidRPr="005800A1">
        <w:rPr>
          <w:rFonts w:ascii="Times New Roman" w:hAnsi="Times New Roman" w:cs="Times New Roman"/>
        </w:rPr>
        <w:t>inter-religious disagreement.</w:t>
      </w:r>
      <w:r w:rsidR="006942E2">
        <w:rPr>
          <w:rStyle w:val="FootnoteReference"/>
          <w:rFonts w:ascii="Times New Roman" w:hAnsi="Times New Roman" w:cs="Times New Roman"/>
        </w:rPr>
        <w:footnoteReference w:id="19"/>
      </w:r>
      <w:r w:rsidR="003C3960" w:rsidRPr="005800A1">
        <w:rPr>
          <w:rFonts w:ascii="Times New Roman" w:hAnsi="Times New Roman" w:cs="Times New Roman"/>
        </w:rPr>
        <w:t xml:space="preserve"> Consider the disagreement between a Christian and a Muslim regarding the nature </w:t>
      </w:r>
      <w:r w:rsidR="003C3960" w:rsidRPr="005800A1">
        <w:rPr>
          <w:rFonts w:ascii="Times New Roman" w:hAnsi="Times New Roman" w:cs="Times New Roman"/>
        </w:rPr>
        <w:lastRenderedPageBreak/>
        <w:t>of Jesus</w:t>
      </w:r>
      <w:r w:rsidR="00822F8C">
        <w:rPr>
          <w:rFonts w:ascii="Times New Roman" w:hAnsi="Times New Roman" w:cs="Times New Roman"/>
        </w:rPr>
        <w:t xml:space="preserve"> Christ</w:t>
      </w:r>
      <w:r w:rsidR="003C3960" w:rsidRPr="005800A1">
        <w:rPr>
          <w:rFonts w:ascii="Times New Roman" w:hAnsi="Times New Roman" w:cs="Times New Roman"/>
        </w:rPr>
        <w:t xml:space="preserve">. While for a Christian, </w:t>
      </w:r>
      <w:r w:rsidR="00DF3DAD">
        <w:rPr>
          <w:rFonts w:ascii="Times New Roman" w:hAnsi="Times New Roman" w:cs="Times New Roman"/>
        </w:rPr>
        <w:t>he</w:t>
      </w:r>
      <w:r w:rsidR="003C3960" w:rsidRPr="005800A1">
        <w:rPr>
          <w:rFonts w:ascii="Times New Roman" w:hAnsi="Times New Roman" w:cs="Times New Roman"/>
        </w:rPr>
        <w:t xml:space="preserve"> is </w:t>
      </w:r>
      <w:r w:rsidR="00CF660B" w:rsidRPr="005800A1">
        <w:rPr>
          <w:rFonts w:ascii="Times New Roman" w:hAnsi="Times New Roman" w:cs="Times New Roman"/>
        </w:rPr>
        <w:t xml:space="preserve">the son of God and he himself is God, who is conceived of as triune – as three persons in one –, a Muslim considers Jesus </w:t>
      </w:r>
      <w:r w:rsidR="00DF3DAD">
        <w:rPr>
          <w:rFonts w:ascii="Times New Roman" w:hAnsi="Times New Roman" w:cs="Times New Roman"/>
        </w:rPr>
        <w:t xml:space="preserve">Christ </w:t>
      </w:r>
      <w:r w:rsidR="0044151C" w:rsidRPr="005800A1">
        <w:rPr>
          <w:rFonts w:ascii="Times New Roman" w:hAnsi="Times New Roman" w:cs="Times New Roman"/>
        </w:rPr>
        <w:t>only a man, albeit an important prophet of Allah.</w:t>
      </w:r>
      <w:r w:rsidR="005D2DB2">
        <w:rPr>
          <w:rStyle w:val="FootnoteReference"/>
          <w:rFonts w:ascii="Times New Roman" w:hAnsi="Times New Roman" w:cs="Times New Roman"/>
        </w:rPr>
        <w:footnoteReference w:id="20"/>
      </w:r>
      <w:r w:rsidR="0044151C" w:rsidRPr="005800A1">
        <w:rPr>
          <w:rFonts w:ascii="Times New Roman" w:hAnsi="Times New Roman" w:cs="Times New Roman"/>
        </w:rPr>
        <w:t xml:space="preserve"> </w:t>
      </w:r>
      <w:r w:rsidR="009E3B17" w:rsidRPr="005800A1">
        <w:rPr>
          <w:rFonts w:ascii="Times New Roman" w:hAnsi="Times New Roman" w:cs="Times New Roman"/>
        </w:rPr>
        <w:t xml:space="preserve">Here the disagreement isn’t over the hinge “God exists”, for both parties hold on to that much. Thus, this isn’t a case of deep disagreement as </w:t>
      </w:r>
      <w:r w:rsidR="00781BE7">
        <w:rPr>
          <w:rFonts w:ascii="Times New Roman" w:hAnsi="Times New Roman" w:cs="Times New Roman"/>
        </w:rPr>
        <w:t xml:space="preserve">previously </w:t>
      </w:r>
      <w:r w:rsidR="009E3B17" w:rsidRPr="005800A1">
        <w:rPr>
          <w:rFonts w:ascii="Times New Roman" w:hAnsi="Times New Roman" w:cs="Times New Roman"/>
        </w:rPr>
        <w:t>characterized</w:t>
      </w:r>
      <w:r w:rsidR="00FF68E1">
        <w:rPr>
          <w:rFonts w:ascii="Times New Roman" w:hAnsi="Times New Roman" w:cs="Times New Roman"/>
        </w:rPr>
        <w:t xml:space="preserve"> (§2.2)</w:t>
      </w:r>
      <w:r w:rsidR="009E3B17" w:rsidRPr="005800A1">
        <w:rPr>
          <w:rFonts w:ascii="Times New Roman" w:hAnsi="Times New Roman" w:cs="Times New Roman"/>
        </w:rPr>
        <w:t xml:space="preserve">. However, the two parties respond to </w:t>
      </w:r>
      <w:r w:rsidR="00961F80" w:rsidRPr="005800A1">
        <w:rPr>
          <w:rFonts w:ascii="Times New Roman" w:hAnsi="Times New Roman" w:cs="Times New Roman"/>
        </w:rPr>
        <w:t>different sources of epistemic authority – roughly, the Bible</w:t>
      </w:r>
      <w:r w:rsidR="000B6E7A">
        <w:rPr>
          <w:rFonts w:ascii="Times New Roman" w:hAnsi="Times New Roman" w:cs="Times New Roman"/>
        </w:rPr>
        <w:t>,</w:t>
      </w:r>
      <w:r w:rsidR="00961F80" w:rsidRPr="005800A1">
        <w:rPr>
          <w:rFonts w:ascii="Times New Roman" w:hAnsi="Times New Roman" w:cs="Times New Roman"/>
        </w:rPr>
        <w:t xml:space="preserve"> in the case of Christ</w:t>
      </w:r>
      <w:r w:rsidR="004226DC" w:rsidRPr="005800A1">
        <w:rPr>
          <w:rFonts w:ascii="Times New Roman" w:hAnsi="Times New Roman" w:cs="Times New Roman"/>
        </w:rPr>
        <w:t xml:space="preserve">ians and the </w:t>
      </w:r>
      <w:r w:rsidR="004226DC" w:rsidRPr="005800A1">
        <w:rPr>
          <w:rFonts w:ascii="Times New Roman" w:eastAsia="Times New Roman" w:hAnsi="Times New Roman" w:cs="Times New Roman"/>
        </w:rPr>
        <w:t>Qur’an, in the case of Muslims</w:t>
      </w:r>
      <w:r w:rsidR="004226DC" w:rsidRPr="005800A1">
        <w:rPr>
          <w:rFonts w:ascii="Times New Roman" w:hAnsi="Times New Roman" w:cs="Times New Roman"/>
        </w:rPr>
        <w:t>.</w:t>
      </w:r>
    </w:p>
    <w:p w14:paraId="46550B61" w14:textId="2128721D" w:rsidR="009F1BD3" w:rsidRDefault="00812934" w:rsidP="005800A1">
      <w:pPr>
        <w:spacing w:after="120" w:line="360" w:lineRule="auto"/>
        <w:jc w:val="both"/>
        <w:rPr>
          <w:rFonts w:ascii="Times New Roman" w:hAnsi="Times New Roman" w:cs="Times New Roman"/>
        </w:rPr>
      </w:pPr>
      <w:r>
        <w:rPr>
          <w:rFonts w:ascii="Times New Roman" w:hAnsi="Times New Roman" w:cs="Times New Roman"/>
        </w:rPr>
        <w:t xml:space="preserve">Notice that this case is not like </w:t>
      </w:r>
      <w:r w:rsidR="008542CC">
        <w:rPr>
          <w:rFonts w:ascii="Times New Roman" w:hAnsi="Times New Roman" w:cs="Times New Roman"/>
        </w:rPr>
        <w:t>an</w:t>
      </w:r>
      <w:r w:rsidR="00E82582">
        <w:rPr>
          <w:rFonts w:ascii="Times New Roman" w:hAnsi="Times New Roman" w:cs="Times New Roman"/>
        </w:rPr>
        <w:t xml:space="preserve"> </w:t>
      </w:r>
      <w:proofErr w:type="spellStart"/>
      <w:r w:rsidR="008046F3">
        <w:rPr>
          <w:rFonts w:ascii="Times New Roman" w:hAnsi="Times New Roman" w:cs="Times New Roman"/>
        </w:rPr>
        <w:t>intratheoretic</w:t>
      </w:r>
      <w:proofErr w:type="spellEnd"/>
      <w:r w:rsidR="008046F3">
        <w:rPr>
          <w:rFonts w:ascii="Times New Roman" w:hAnsi="Times New Roman" w:cs="Times New Roman"/>
        </w:rPr>
        <w:t xml:space="preserve"> disagreement</w:t>
      </w:r>
      <w:r>
        <w:rPr>
          <w:rFonts w:ascii="Times New Roman" w:hAnsi="Times New Roman" w:cs="Times New Roman"/>
        </w:rPr>
        <w:t xml:space="preserve"> either. For, true, both parties hold on to the hinge “God exists”, but then they </w:t>
      </w:r>
      <w:r w:rsidR="003E0E12">
        <w:rPr>
          <w:rFonts w:ascii="Times New Roman" w:hAnsi="Times New Roman" w:cs="Times New Roman"/>
        </w:rPr>
        <w:t>have</w:t>
      </w:r>
      <w:r w:rsidR="00C958AD">
        <w:rPr>
          <w:rFonts w:ascii="Times New Roman" w:hAnsi="Times New Roman" w:cs="Times New Roman"/>
        </w:rPr>
        <w:t xml:space="preserve"> </w:t>
      </w:r>
      <w:r w:rsidR="000B6E7A">
        <w:rPr>
          <w:rFonts w:ascii="Times New Roman" w:hAnsi="Times New Roman" w:cs="Times New Roman"/>
        </w:rPr>
        <w:t>incompatible</w:t>
      </w:r>
      <w:r w:rsidR="00C958AD">
        <w:rPr>
          <w:rFonts w:ascii="Times New Roman" w:hAnsi="Times New Roman" w:cs="Times New Roman"/>
        </w:rPr>
        <w:t xml:space="preserve"> views regarding which text </w:t>
      </w:r>
      <w:r w:rsidR="007E2C3F">
        <w:rPr>
          <w:rFonts w:ascii="Times New Roman" w:hAnsi="Times New Roman" w:cs="Times New Roman"/>
        </w:rPr>
        <w:t>is t</w:t>
      </w:r>
      <w:r w:rsidR="00C958AD">
        <w:rPr>
          <w:rFonts w:ascii="Times New Roman" w:hAnsi="Times New Roman" w:cs="Times New Roman"/>
        </w:rPr>
        <w:t xml:space="preserve">he </w:t>
      </w:r>
      <w:r w:rsidR="007E2C3F">
        <w:rPr>
          <w:rFonts w:ascii="Times New Roman" w:hAnsi="Times New Roman" w:cs="Times New Roman"/>
        </w:rPr>
        <w:t xml:space="preserve">revealed </w:t>
      </w:r>
      <w:r w:rsidR="00C958AD">
        <w:rPr>
          <w:rFonts w:ascii="Times New Roman" w:hAnsi="Times New Roman" w:cs="Times New Roman"/>
        </w:rPr>
        <w:t xml:space="preserve">word of God. Thus, their </w:t>
      </w:r>
      <w:r w:rsidR="00736EC5">
        <w:rPr>
          <w:rFonts w:ascii="Times New Roman" w:hAnsi="Times New Roman" w:cs="Times New Roman"/>
        </w:rPr>
        <w:t xml:space="preserve">“method” for resolving a disagreement </w:t>
      </w:r>
      <w:r w:rsidR="00CD76E7">
        <w:rPr>
          <w:rFonts w:ascii="Times New Roman" w:hAnsi="Times New Roman" w:cs="Times New Roman"/>
        </w:rPr>
        <w:t>wouldn’t</w:t>
      </w:r>
      <w:r w:rsidR="00736EC5">
        <w:rPr>
          <w:rFonts w:ascii="Times New Roman" w:hAnsi="Times New Roman" w:cs="Times New Roman"/>
        </w:rPr>
        <w:t xml:space="preserve"> appeal to the same normative source, </w:t>
      </w:r>
      <w:r w:rsidR="009F6683">
        <w:rPr>
          <w:rFonts w:ascii="Times New Roman" w:hAnsi="Times New Roman" w:cs="Times New Roman"/>
        </w:rPr>
        <w:t xml:space="preserve">contrary to the case briefly analyzed in (§2.1) of disagreement between </w:t>
      </w:r>
      <w:proofErr w:type="spellStart"/>
      <w:r w:rsidR="009F6683">
        <w:rPr>
          <w:rFonts w:ascii="Times New Roman" w:hAnsi="Times New Roman" w:cs="Times New Roman"/>
        </w:rPr>
        <w:t>Niceans</w:t>
      </w:r>
      <w:proofErr w:type="spellEnd"/>
      <w:r w:rsidR="009F6683">
        <w:rPr>
          <w:rFonts w:ascii="Times New Roman" w:hAnsi="Times New Roman" w:cs="Times New Roman"/>
        </w:rPr>
        <w:t xml:space="preserve"> and Arians.</w:t>
      </w:r>
      <w:r w:rsidR="003E0E12">
        <w:rPr>
          <w:rFonts w:ascii="Times New Roman" w:hAnsi="Times New Roman" w:cs="Times New Roman"/>
        </w:rPr>
        <w:t xml:space="preserve"> How</w:t>
      </w:r>
      <w:r w:rsidR="00480B6E">
        <w:rPr>
          <w:rFonts w:ascii="Times New Roman" w:hAnsi="Times New Roman" w:cs="Times New Roman"/>
        </w:rPr>
        <w:t>, then,</w:t>
      </w:r>
      <w:r w:rsidR="003E0E12">
        <w:rPr>
          <w:rFonts w:ascii="Times New Roman" w:hAnsi="Times New Roman" w:cs="Times New Roman"/>
        </w:rPr>
        <w:t xml:space="preserve"> can we </w:t>
      </w:r>
      <w:r w:rsidR="00A57913">
        <w:rPr>
          <w:rFonts w:ascii="Times New Roman" w:hAnsi="Times New Roman" w:cs="Times New Roman"/>
        </w:rPr>
        <w:t xml:space="preserve">subsume inter-religious disagreement under </w:t>
      </w:r>
      <w:r w:rsidR="00480B6E">
        <w:rPr>
          <w:rFonts w:ascii="Times New Roman" w:hAnsi="Times New Roman" w:cs="Times New Roman"/>
        </w:rPr>
        <w:t>a</w:t>
      </w:r>
      <w:r w:rsidR="00A57913">
        <w:rPr>
          <w:rFonts w:ascii="Times New Roman" w:hAnsi="Times New Roman" w:cs="Times New Roman"/>
        </w:rPr>
        <w:t xml:space="preserve"> hinge</w:t>
      </w:r>
      <w:r w:rsidR="00480B6E">
        <w:rPr>
          <w:rFonts w:ascii="Times New Roman" w:hAnsi="Times New Roman" w:cs="Times New Roman"/>
        </w:rPr>
        <w:t>-</w:t>
      </w:r>
      <w:proofErr w:type="gramStart"/>
      <w:r w:rsidR="00480B6E">
        <w:rPr>
          <w:rFonts w:ascii="Times New Roman" w:hAnsi="Times New Roman" w:cs="Times New Roman"/>
        </w:rPr>
        <w:t>theoretic</w:t>
      </w:r>
      <w:proofErr w:type="gramEnd"/>
      <w:r w:rsidR="00480B6E">
        <w:rPr>
          <w:rFonts w:ascii="Times New Roman" w:hAnsi="Times New Roman" w:cs="Times New Roman"/>
        </w:rPr>
        <w:t xml:space="preserve"> framework?</w:t>
      </w:r>
    </w:p>
    <w:p w14:paraId="3C4AC0A6" w14:textId="1C351535" w:rsidR="008046F3" w:rsidRDefault="00480B6E" w:rsidP="005800A1">
      <w:pPr>
        <w:spacing w:after="120" w:line="360" w:lineRule="auto"/>
        <w:jc w:val="both"/>
        <w:rPr>
          <w:rFonts w:ascii="Times New Roman" w:hAnsi="Times New Roman" w:cs="Times New Roman"/>
        </w:rPr>
      </w:pPr>
      <w:r>
        <w:rPr>
          <w:rFonts w:ascii="Times New Roman" w:hAnsi="Times New Roman" w:cs="Times New Roman"/>
        </w:rPr>
        <w:t xml:space="preserve">A solution may come from noticing that, for Wittgenstein, </w:t>
      </w:r>
      <w:r w:rsidR="00122748">
        <w:rPr>
          <w:rFonts w:ascii="Times New Roman" w:hAnsi="Times New Roman" w:cs="Times New Roman"/>
        </w:rPr>
        <w:t xml:space="preserve">hinges are not all on a par. Some are “deeper”, more stable, and universal than other ones. </w:t>
      </w:r>
      <w:r w:rsidR="00FA7529">
        <w:rPr>
          <w:rFonts w:ascii="Times New Roman" w:hAnsi="Times New Roman" w:cs="Times New Roman"/>
        </w:rPr>
        <w:t xml:space="preserve">Here </w:t>
      </w:r>
      <w:r w:rsidR="00624163">
        <w:rPr>
          <w:rFonts w:ascii="Times New Roman" w:hAnsi="Times New Roman" w:cs="Times New Roman"/>
        </w:rPr>
        <w:t>are some</w:t>
      </w:r>
      <w:r w:rsidR="00FA7529">
        <w:rPr>
          <w:rFonts w:ascii="Times New Roman" w:hAnsi="Times New Roman" w:cs="Times New Roman"/>
        </w:rPr>
        <w:t xml:space="preserve"> telling passage</w:t>
      </w:r>
      <w:r w:rsidR="00624163">
        <w:rPr>
          <w:rFonts w:ascii="Times New Roman" w:hAnsi="Times New Roman" w:cs="Times New Roman"/>
        </w:rPr>
        <w:t>s</w:t>
      </w:r>
      <w:r w:rsidR="00D83149">
        <w:rPr>
          <w:rFonts w:ascii="Times New Roman" w:hAnsi="Times New Roman" w:cs="Times New Roman"/>
        </w:rPr>
        <w:t xml:space="preserve"> (OC 96</w:t>
      </w:r>
      <w:r w:rsidR="00B9691C">
        <w:rPr>
          <w:rFonts w:ascii="Times New Roman" w:hAnsi="Times New Roman" w:cs="Times New Roman"/>
        </w:rPr>
        <w:t>-97</w:t>
      </w:r>
      <w:r w:rsidR="00280471">
        <w:rPr>
          <w:rFonts w:ascii="Times New Roman" w:hAnsi="Times New Roman" w:cs="Times New Roman"/>
        </w:rPr>
        <w:t>, 99</w:t>
      </w:r>
      <w:r w:rsidR="00D83149">
        <w:rPr>
          <w:rFonts w:ascii="Times New Roman" w:hAnsi="Times New Roman" w:cs="Times New Roman"/>
        </w:rPr>
        <w:t>):</w:t>
      </w:r>
    </w:p>
    <w:p w14:paraId="4D27679E" w14:textId="77777777" w:rsidR="00D83149" w:rsidRPr="008A70D1" w:rsidRDefault="00D83149" w:rsidP="008A70D1">
      <w:pPr>
        <w:spacing w:line="360" w:lineRule="auto"/>
        <w:ind w:left="720"/>
        <w:jc w:val="both"/>
        <w:rPr>
          <w:rFonts w:ascii="Times New Roman" w:hAnsi="Times New Roman" w:cs="Times New Roman"/>
        </w:rPr>
      </w:pPr>
      <w:r w:rsidRPr="008A70D1">
        <w:rPr>
          <w:rFonts w:ascii="Times New Roman" w:hAnsi="Times New Roman" w:cs="Times New Roman"/>
        </w:rPr>
        <w:t>It might be imagined that some propositions, of the form of empirical propositions, were hardened and functioned as channels for such empirical propositions as were not hardened but fluid; and that this relation altered with time, in that fluid propositions hardened, and hard ones became fluid.</w:t>
      </w:r>
    </w:p>
    <w:p w14:paraId="3BD21C79" w14:textId="77777777" w:rsidR="00280471" w:rsidRDefault="00624163" w:rsidP="00280471">
      <w:pPr>
        <w:spacing w:line="360" w:lineRule="auto"/>
        <w:ind w:left="720"/>
        <w:jc w:val="both"/>
        <w:rPr>
          <w:rFonts w:ascii="Times New Roman" w:hAnsi="Times New Roman" w:cs="Times New Roman"/>
        </w:rPr>
      </w:pPr>
      <w:r w:rsidRPr="008A70D1">
        <w:rPr>
          <w:rFonts w:ascii="Times New Roman" w:hAnsi="Times New Roman" w:cs="Times New Roman"/>
        </w:rPr>
        <w:t xml:space="preserve">The mythology may change back into a state of flux, the </w:t>
      </w:r>
      <w:proofErr w:type="gramStart"/>
      <w:r w:rsidRPr="008A70D1">
        <w:rPr>
          <w:rFonts w:ascii="Times New Roman" w:hAnsi="Times New Roman" w:cs="Times New Roman"/>
        </w:rPr>
        <w:t>river-bed</w:t>
      </w:r>
      <w:proofErr w:type="gramEnd"/>
      <w:r w:rsidRPr="008A70D1">
        <w:rPr>
          <w:rFonts w:ascii="Times New Roman" w:hAnsi="Times New Roman" w:cs="Times New Roman"/>
        </w:rPr>
        <w:t xml:space="preserve"> of thoughts may shift. But I distinguish between the movement of the waters on the </w:t>
      </w:r>
      <w:proofErr w:type="gramStart"/>
      <w:r w:rsidRPr="008A70D1">
        <w:rPr>
          <w:rFonts w:ascii="Times New Roman" w:hAnsi="Times New Roman" w:cs="Times New Roman"/>
        </w:rPr>
        <w:t>river-bed</w:t>
      </w:r>
      <w:proofErr w:type="gramEnd"/>
      <w:r w:rsidRPr="008A70D1">
        <w:rPr>
          <w:rFonts w:ascii="Times New Roman" w:hAnsi="Times New Roman" w:cs="Times New Roman"/>
        </w:rPr>
        <w:t xml:space="preserve"> and the shift of the bed </w:t>
      </w:r>
      <w:proofErr w:type="gramStart"/>
      <w:r w:rsidRPr="008A70D1">
        <w:rPr>
          <w:rFonts w:ascii="Times New Roman" w:hAnsi="Times New Roman" w:cs="Times New Roman"/>
        </w:rPr>
        <w:t>itself;</w:t>
      </w:r>
      <w:proofErr w:type="gramEnd"/>
      <w:r w:rsidRPr="008A70D1">
        <w:rPr>
          <w:rFonts w:ascii="Times New Roman" w:hAnsi="Times New Roman" w:cs="Times New Roman"/>
        </w:rPr>
        <w:t xml:space="preserve"> though there is not a sharp division of the one from the other.</w:t>
      </w:r>
    </w:p>
    <w:p w14:paraId="06034805" w14:textId="10AD00EE" w:rsidR="00280471" w:rsidRPr="008A70D1" w:rsidRDefault="00280471" w:rsidP="00280471">
      <w:pPr>
        <w:spacing w:line="360" w:lineRule="auto"/>
        <w:ind w:left="720"/>
        <w:jc w:val="both"/>
        <w:rPr>
          <w:rFonts w:ascii="Times New Roman" w:hAnsi="Times New Roman" w:cs="Times New Roman"/>
        </w:rPr>
      </w:pPr>
      <w:r w:rsidRPr="00280471">
        <w:rPr>
          <w:rFonts w:ascii="Times New Roman" w:hAnsi="Times New Roman" w:cs="Times New Roman"/>
        </w:rPr>
        <w:t>And the bank of that river consists partly of hard rock, subject to no alteration or only to an imperceptible one, partly of sand, which now in one place now in another gets washed away, or deposited.</w:t>
      </w:r>
    </w:p>
    <w:p w14:paraId="5432DB2F" w14:textId="2C4FAB8D" w:rsidR="00624163" w:rsidRPr="008A70D1" w:rsidRDefault="0033596F" w:rsidP="008A70D1">
      <w:pPr>
        <w:spacing w:line="360" w:lineRule="auto"/>
        <w:jc w:val="both"/>
        <w:rPr>
          <w:rFonts w:ascii="Times New Roman" w:hAnsi="Times New Roman" w:cs="Times New Roman"/>
        </w:rPr>
      </w:pPr>
      <w:r w:rsidRPr="008A70D1">
        <w:rPr>
          <w:rFonts w:ascii="Times New Roman" w:hAnsi="Times New Roman" w:cs="Times New Roman"/>
        </w:rPr>
        <w:lastRenderedPageBreak/>
        <w:t xml:space="preserve">In the first passage, Wittgenstein is talking about how a proposition may become a hinge and turn from </w:t>
      </w:r>
      <w:r w:rsidR="00E34E2E" w:rsidRPr="008A70D1">
        <w:rPr>
          <w:rFonts w:ascii="Times New Roman" w:hAnsi="Times New Roman" w:cs="Times New Roman"/>
        </w:rPr>
        <w:t>an empirical one – normally verified through (empirical) evidence –</w:t>
      </w:r>
      <w:r w:rsidR="00F94C93" w:rsidRPr="008A70D1">
        <w:rPr>
          <w:rFonts w:ascii="Times New Roman" w:hAnsi="Times New Roman" w:cs="Times New Roman"/>
        </w:rPr>
        <w:t xml:space="preserve"> into a norm or, as he puts it, into a proposition that plays a “rule-like” role (OC 95). </w:t>
      </w:r>
      <w:r w:rsidR="00624163" w:rsidRPr="008A70D1">
        <w:rPr>
          <w:rFonts w:ascii="Times New Roman" w:hAnsi="Times New Roman" w:cs="Times New Roman"/>
        </w:rPr>
        <w:t xml:space="preserve">Still, according to Wittgenstein, and contrary to </w:t>
      </w:r>
      <w:proofErr w:type="spellStart"/>
      <w:r w:rsidR="00624163" w:rsidRPr="00FB2082">
        <w:rPr>
          <w:rFonts w:ascii="Times New Roman" w:hAnsi="Times New Roman" w:cs="Times New Roman"/>
        </w:rPr>
        <w:t>W.v.O</w:t>
      </w:r>
      <w:proofErr w:type="spellEnd"/>
      <w:r w:rsidR="00624163" w:rsidRPr="00FB2082">
        <w:rPr>
          <w:rFonts w:ascii="Times New Roman" w:hAnsi="Times New Roman" w:cs="Times New Roman"/>
        </w:rPr>
        <w:t>. Quine’s (1951) later</w:t>
      </w:r>
      <w:r w:rsidR="00624163" w:rsidRPr="008A70D1">
        <w:rPr>
          <w:rFonts w:ascii="Times New Roman" w:hAnsi="Times New Roman" w:cs="Times New Roman"/>
        </w:rPr>
        <w:t xml:space="preserve"> rejection of the analytic/synthetic distinction in “Two dogmas of empiricism”, at every moment or relative to any given context, we may distinguish between propositions that play a </w:t>
      </w:r>
      <w:r w:rsidR="00E34E2E" w:rsidRPr="008A70D1">
        <w:rPr>
          <w:rFonts w:ascii="Times New Roman" w:hAnsi="Times New Roman" w:cs="Times New Roman"/>
        </w:rPr>
        <w:t>rule</w:t>
      </w:r>
      <w:r w:rsidR="00624163" w:rsidRPr="008A70D1">
        <w:rPr>
          <w:rFonts w:ascii="Times New Roman" w:hAnsi="Times New Roman" w:cs="Times New Roman"/>
        </w:rPr>
        <w:t>-like role</w:t>
      </w:r>
      <w:r w:rsidR="00E34E2E" w:rsidRPr="008A70D1">
        <w:rPr>
          <w:rFonts w:ascii="Times New Roman" w:hAnsi="Times New Roman" w:cs="Times New Roman"/>
        </w:rPr>
        <w:t xml:space="preserve"> – i.e., hinges –</w:t>
      </w:r>
      <w:r w:rsidR="00624163" w:rsidRPr="008A70D1">
        <w:rPr>
          <w:rFonts w:ascii="Times New Roman" w:hAnsi="Times New Roman" w:cs="Times New Roman"/>
        </w:rPr>
        <w:t xml:space="preserve"> and those which don’t, even though at a different time, or in a different context, the former may become empirical ones, and the latter may be hardened into rules. As he writes (OC 98):</w:t>
      </w:r>
    </w:p>
    <w:p w14:paraId="3E0F8A64" w14:textId="77777777" w:rsidR="00624163" w:rsidRPr="008A70D1" w:rsidRDefault="00624163" w:rsidP="008A70D1">
      <w:pPr>
        <w:spacing w:line="360" w:lineRule="auto"/>
        <w:ind w:left="720" w:right="720"/>
        <w:jc w:val="both"/>
        <w:rPr>
          <w:rFonts w:ascii="Times New Roman" w:hAnsi="Times New Roman" w:cs="Times New Roman"/>
        </w:rPr>
      </w:pPr>
      <w:r w:rsidRPr="008A70D1">
        <w:rPr>
          <w:rFonts w:ascii="Times New Roman" w:hAnsi="Times New Roman" w:cs="Times New Roman"/>
        </w:rPr>
        <w:t>But if someone were to say “So logic too is an empirical science” he would be wrong. Yet this is right: the same proposition may get treated at one time as something to test by experience, at another as a rule of testing.</w:t>
      </w:r>
    </w:p>
    <w:p w14:paraId="753D02E1" w14:textId="58E6D93D" w:rsidR="00624163" w:rsidRDefault="00362CD3" w:rsidP="008A70D1">
      <w:pPr>
        <w:spacing w:line="360" w:lineRule="auto"/>
        <w:jc w:val="both"/>
        <w:rPr>
          <w:rFonts w:ascii="Times New Roman" w:hAnsi="Times New Roman" w:cs="Times New Roman"/>
        </w:rPr>
      </w:pPr>
      <w:r w:rsidRPr="008A70D1">
        <w:rPr>
          <w:rFonts w:ascii="Times New Roman" w:hAnsi="Times New Roman" w:cs="Times New Roman"/>
        </w:rPr>
        <w:t>Thus,</w:t>
      </w:r>
      <w:r w:rsidR="00624163" w:rsidRPr="008A70D1">
        <w:rPr>
          <w:rFonts w:ascii="Times New Roman" w:hAnsi="Times New Roman" w:cs="Times New Roman"/>
        </w:rPr>
        <w:t xml:space="preserve"> hinges</w:t>
      </w:r>
      <w:r w:rsidR="00E52871" w:rsidRPr="008A70D1">
        <w:rPr>
          <w:rFonts w:ascii="Times New Roman" w:hAnsi="Times New Roman" w:cs="Times New Roman"/>
        </w:rPr>
        <w:t>, for him</w:t>
      </w:r>
      <w:r w:rsidR="00812FF5" w:rsidRPr="008A70D1">
        <w:rPr>
          <w:rFonts w:ascii="Times New Roman" w:hAnsi="Times New Roman" w:cs="Times New Roman"/>
        </w:rPr>
        <w:t>, are</w:t>
      </w:r>
      <w:r w:rsidR="00624163" w:rsidRPr="008A70D1">
        <w:rPr>
          <w:rFonts w:ascii="Times New Roman" w:hAnsi="Times New Roman" w:cs="Times New Roman"/>
        </w:rPr>
        <w:t xml:space="preserve"> </w:t>
      </w:r>
      <w:r w:rsidR="00E52871" w:rsidRPr="008A70D1">
        <w:rPr>
          <w:rFonts w:ascii="Times New Roman" w:hAnsi="Times New Roman" w:cs="Times New Roman"/>
        </w:rPr>
        <w:t>the “inherited background” against which we distinguish between true and false (OC 94)</w:t>
      </w:r>
      <w:r w:rsidR="00812FF5" w:rsidRPr="008A70D1">
        <w:rPr>
          <w:rFonts w:ascii="Times New Roman" w:hAnsi="Times New Roman" w:cs="Times New Roman"/>
        </w:rPr>
        <w:t xml:space="preserve">. </w:t>
      </w:r>
      <w:r w:rsidR="005E670E" w:rsidRPr="008A70D1">
        <w:rPr>
          <w:rFonts w:ascii="Times New Roman" w:hAnsi="Times New Roman" w:cs="Times New Roman"/>
        </w:rPr>
        <w:t xml:space="preserve">Even if they may change from time </w:t>
      </w:r>
      <w:r w:rsidR="003264FB" w:rsidRPr="008A70D1">
        <w:rPr>
          <w:rFonts w:ascii="Times New Roman" w:hAnsi="Times New Roman" w:cs="Times New Roman"/>
        </w:rPr>
        <w:t>to time or from place to place, at any given moment in time or relative to each place</w:t>
      </w:r>
      <w:r w:rsidR="00A50A90">
        <w:rPr>
          <w:rFonts w:ascii="Times New Roman" w:hAnsi="Times New Roman" w:cs="Times New Roman"/>
        </w:rPr>
        <w:t xml:space="preserve"> (or epistemic community)</w:t>
      </w:r>
      <w:r w:rsidR="003264FB" w:rsidRPr="008A70D1">
        <w:rPr>
          <w:rFonts w:ascii="Times New Roman" w:hAnsi="Times New Roman" w:cs="Times New Roman"/>
        </w:rPr>
        <w:t xml:space="preserve">, we may identify those propositions that play a normative role and those that don’t. </w:t>
      </w:r>
    </w:p>
    <w:p w14:paraId="63FCD4C6" w14:textId="5477F6EF" w:rsidR="009E122C" w:rsidRPr="008A70D1" w:rsidRDefault="009E122C" w:rsidP="008A70D1">
      <w:pPr>
        <w:spacing w:line="360" w:lineRule="auto"/>
        <w:jc w:val="both"/>
        <w:rPr>
          <w:rFonts w:ascii="Times New Roman" w:hAnsi="Times New Roman" w:cs="Times New Roman"/>
        </w:rPr>
      </w:pPr>
      <w:r>
        <w:rPr>
          <w:rFonts w:ascii="Times New Roman" w:hAnsi="Times New Roman" w:cs="Times New Roman"/>
        </w:rPr>
        <w:t xml:space="preserve">Finally, in </w:t>
      </w:r>
      <w:r w:rsidR="000A137F">
        <w:rPr>
          <w:rFonts w:ascii="Times New Roman" w:hAnsi="Times New Roman" w:cs="Times New Roman"/>
        </w:rPr>
        <w:t>(OC 99), Wittgenstein points out how hinges are not all on a par: some are “deeper” and more stabl</w:t>
      </w:r>
      <w:r w:rsidR="00762719">
        <w:rPr>
          <w:rFonts w:ascii="Times New Roman" w:hAnsi="Times New Roman" w:cs="Times New Roman"/>
        </w:rPr>
        <w:t xml:space="preserve">e </w:t>
      </w:r>
      <w:r w:rsidR="0091523F">
        <w:rPr>
          <w:rFonts w:ascii="Times New Roman" w:hAnsi="Times New Roman" w:cs="Times New Roman"/>
        </w:rPr>
        <w:t>and (nearly)</w:t>
      </w:r>
      <w:r w:rsidR="00762719">
        <w:rPr>
          <w:rFonts w:ascii="Times New Roman" w:hAnsi="Times New Roman" w:cs="Times New Roman"/>
        </w:rPr>
        <w:t xml:space="preserve"> universal, whereas others are more “superficial”, and </w:t>
      </w:r>
      <w:r w:rsidR="00DD2CAB">
        <w:rPr>
          <w:rFonts w:ascii="Times New Roman" w:hAnsi="Times New Roman" w:cs="Times New Roman"/>
        </w:rPr>
        <w:t xml:space="preserve">more easily subject to change </w:t>
      </w:r>
      <w:r w:rsidR="00BD65D8">
        <w:rPr>
          <w:rFonts w:ascii="Times New Roman" w:hAnsi="Times New Roman" w:cs="Times New Roman"/>
        </w:rPr>
        <w:t>and</w:t>
      </w:r>
      <w:r w:rsidR="00DD2CAB">
        <w:rPr>
          <w:rFonts w:ascii="Times New Roman" w:hAnsi="Times New Roman" w:cs="Times New Roman"/>
        </w:rPr>
        <w:t xml:space="preserve"> </w:t>
      </w:r>
      <w:r w:rsidR="00BD65D8">
        <w:rPr>
          <w:rFonts w:ascii="Times New Roman" w:hAnsi="Times New Roman" w:cs="Times New Roman"/>
        </w:rPr>
        <w:t>“</w:t>
      </w:r>
      <w:r w:rsidR="00DD2CAB">
        <w:rPr>
          <w:rFonts w:ascii="Times New Roman" w:hAnsi="Times New Roman" w:cs="Times New Roman"/>
        </w:rPr>
        <w:t>give-</w:t>
      </w:r>
      <w:proofErr w:type="spellStart"/>
      <w:r w:rsidR="00DD2CAB">
        <w:rPr>
          <w:rFonts w:ascii="Times New Roman" w:hAnsi="Times New Roman" w:cs="Times New Roman"/>
        </w:rPr>
        <w:t>uppable</w:t>
      </w:r>
      <w:proofErr w:type="spellEnd"/>
      <w:r w:rsidR="00BD65D8">
        <w:rPr>
          <w:rFonts w:ascii="Times New Roman" w:hAnsi="Times New Roman" w:cs="Times New Roman"/>
        </w:rPr>
        <w:t>”</w:t>
      </w:r>
      <w:r w:rsidR="00DD2CAB">
        <w:rPr>
          <w:rFonts w:ascii="Times New Roman" w:hAnsi="Times New Roman" w:cs="Times New Roman"/>
        </w:rPr>
        <w:t>.</w:t>
      </w:r>
      <w:r w:rsidR="00C767E0">
        <w:rPr>
          <w:rFonts w:ascii="Times New Roman" w:hAnsi="Times New Roman" w:cs="Times New Roman"/>
        </w:rPr>
        <w:t xml:space="preserve"> Cases in point, in empirical discourse, would be “There are physical objects”, which is </w:t>
      </w:r>
      <w:r w:rsidR="00957DE2">
        <w:rPr>
          <w:rFonts w:ascii="Times New Roman" w:hAnsi="Times New Roman" w:cs="Times New Roman"/>
        </w:rPr>
        <w:t>universal and not give-</w:t>
      </w:r>
      <w:proofErr w:type="spellStart"/>
      <w:r w:rsidR="00957DE2">
        <w:rPr>
          <w:rFonts w:ascii="Times New Roman" w:hAnsi="Times New Roman" w:cs="Times New Roman"/>
        </w:rPr>
        <w:t>uppable</w:t>
      </w:r>
      <w:proofErr w:type="spellEnd"/>
      <w:r w:rsidR="00957DE2">
        <w:rPr>
          <w:rFonts w:ascii="Times New Roman" w:hAnsi="Times New Roman" w:cs="Times New Roman"/>
        </w:rPr>
        <w:t xml:space="preserve"> on pain of renouncin</w:t>
      </w:r>
      <w:r w:rsidR="00A702C6">
        <w:rPr>
          <w:rFonts w:ascii="Times New Roman" w:hAnsi="Times New Roman" w:cs="Times New Roman"/>
        </w:rPr>
        <w:t>g epistemic rationality altogether;</w:t>
      </w:r>
      <w:r w:rsidR="006B268A">
        <w:rPr>
          <w:rStyle w:val="FootnoteReference"/>
          <w:rFonts w:ascii="Times New Roman" w:hAnsi="Times New Roman" w:cs="Times New Roman"/>
        </w:rPr>
        <w:footnoteReference w:id="21"/>
      </w:r>
      <w:r w:rsidR="00A702C6">
        <w:rPr>
          <w:rFonts w:ascii="Times New Roman" w:hAnsi="Times New Roman" w:cs="Times New Roman"/>
        </w:rPr>
        <w:t xml:space="preserve"> or “The Earth has existed for a very long time”, which is </w:t>
      </w:r>
      <w:r w:rsidR="00C71297">
        <w:rPr>
          <w:rFonts w:ascii="Times New Roman" w:hAnsi="Times New Roman" w:cs="Times New Roman"/>
        </w:rPr>
        <w:t>central to the development of disciplines such as history or geology</w:t>
      </w:r>
      <w:r w:rsidR="00942601">
        <w:rPr>
          <w:rFonts w:ascii="Times New Roman" w:hAnsi="Times New Roman" w:cs="Times New Roman"/>
        </w:rPr>
        <w:t xml:space="preserve">, interested in </w:t>
      </w:r>
      <w:r w:rsidR="00EE5367">
        <w:rPr>
          <w:rFonts w:ascii="Times New Roman" w:hAnsi="Times New Roman" w:cs="Times New Roman"/>
        </w:rPr>
        <w:t>understanding events that took place on the Earth in the past, or even the specific age of the Earth</w:t>
      </w:r>
      <w:r w:rsidR="00896E90">
        <w:rPr>
          <w:rFonts w:ascii="Times New Roman" w:hAnsi="Times New Roman" w:cs="Times New Roman"/>
        </w:rPr>
        <w:t>. Whereas “Nobody has ever been on the Moon”, which was a hinge at the time in which OC was composed</w:t>
      </w:r>
      <w:r w:rsidR="00733DB5">
        <w:rPr>
          <w:rFonts w:ascii="Times New Roman" w:hAnsi="Times New Roman" w:cs="Times New Roman"/>
        </w:rPr>
        <w:t xml:space="preserve"> (1949-1951)</w:t>
      </w:r>
      <w:r w:rsidR="00896E90">
        <w:rPr>
          <w:rFonts w:ascii="Times New Roman" w:hAnsi="Times New Roman" w:cs="Times New Roman"/>
        </w:rPr>
        <w:t xml:space="preserve">, is no longer one; or “I have hands” which is a hinge for most </w:t>
      </w:r>
      <w:proofErr w:type="gramStart"/>
      <w:r w:rsidR="00896E90">
        <w:rPr>
          <w:rFonts w:ascii="Times New Roman" w:hAnsi="Times New Roman" w:cs="Times New Roman"/>
        </w:rPr>
        <w:t>people, and</w:t>
      </w:r>
      <w:proofErr w:type="gramEnd"/>
      <w:r w:rsidR="00896E90">
        <w:rPr>
          <w:rFonts w:ascii="Times New Roman" w:hAnsi="Times New Roman" w:cs="Times New Roman"/>
        </w:rPr>
        <w:t xml:space="preserve"> yet may cease to be one after an accident.</w:t>
      </w:r>
    </w:p>
    <w:p w14:paraId="296AAB85" w14:textId="77777777" w:rsidR="00672B24" w:rsidRDefault="00A50A90" w:rsidP="00672B24">
      <w:pPr>
        <w:spacing w:line="360" w:lineRule="auto"/>
        <w:jc w:val="both"/>
        <w:rPr>
          <w:rFonts w:ascii="Times New Roman" w:hAnsi="Times New Roman" w:cs="Times New Roman"/>
        </w:rPr>
      </w:pPr>
      <w:r>
        <w:rPr>
          <w:rFonts w:ascii="Times New Roman" w:hAnsi="Times New Roman" w:cs="Times New Roman"/>
        </w:rPr>
        <w:t xml:space="preserve">Applied to the religious case, we may then </w:t>
      </w:r>
      <w:r w:rsidR="00AF5974">
        <w:rPr>
          <w:rFonts w:ascii="Times New Roman" w:hAnsi="Times New Roman" w:cs="Times New Roman"/>
        </w:rPr>
        <w:t xml:space="preserve">suggest that while “God exists” is a nearly universal and stable hinge across religions, </w:t>
      </w:r>
      <w:r w:rsidR="007A5B88">
        <w:rPr>
          <w:rFonts w:ascii="Times New Roman" w:hAnsi="Times New Roman" w:cs="Times New Roman"/>
        </w:rPr>
        <w:t xml:space="preserve">“The Bible is the </w:t>
      </w:r>
      <w:r w:rsidR="005E5E3B">
        <w:rPr>
          <w:rFonts w:ascii="Times New Roman" w:hAnsi="Times New Roman" w:cs="Times New Roman"/>
        </w:rPr>
        <w:t xml:space="preserve">religious </w:t>
      </w:r>
      <w:r w:rsidR="007A5B88">
        <w:rPr>
          <w:rFonts w:ascii="Times New Roman" w:hAnsi="Times New Roman" w:cs="Times New Roman"/>
        </w:rPr>
        <w:t xml:space="preserve">normative </w:t>
      </w:r>
      <w:r w:rsidR="00FB3EBC">
        <w:rPr>
          <w:rFonts w:ascii="Times New Roman" w:hAnsi="Times New Roman" w:cs="Times New Roman"/>
        </w:rPr>
        <w:t>authority</w:t>
      </w:r>
      <w:r w:rsidR="007A5B88">
        <w:rPr>
          <w:rFonts w:ascii="Times New Roman" w:hAnsi="Times New Roman" w:cs="Times New Roman"/>
        </w:rPr>
        <w:t xml:space="preserve">” is </w:t>
      </w:r>
      <w:r w:rsidR="00B06A98">
        <w:rPr>
          <w:rFonts w:ascii="Times New Roman" w:hAnsi="Times New Roman" w:cs="Times New Roman"/>
        </w:rPr>
        <w:t xml:space="preserve">much less </w:t>
      </w:r>
      <w:r w:rsidR="00B06A98">
        <w:rPr>
          <w:rFonts w:ascii="Times New Roman" w:hAnsi="Times New Roman" w:cs="Times New Roman"/>
        </w:rPr>
        <w:lastRenderedPageBreak/>
        <w:t>universal</w:t>
      </w:r>
      <w:r w:rsidR="006B3A6A">
        <w:rPr>
          <w:rFonts w:ascii="Times New Roman" w:hAnsi="Times New Roman" w:cs="Times New Roman"/>
        </w:rPr>
        <w:t xml:space="preserve">, and </w:t>
      </w:r>
      <w:r w:rsidR="00B237F6">
        <w:rPr>
          <w:rFonts w:ascii="Times New Roman" w:hAnsi="Times New Roman" w:cs="Times New Roman"/>
        </w:rPr>
        <w:t>characteristic only of Christianity (if we consider the Bible as composed of both the Old and the New Testament)</w:t>
      </w:r>
      <w:r w:rsidR="006B3A6A">
        <w:rPr>
          <w:rFonts w:ascii="Times New Roman" w:hAnsi="Times New Roman" w:cs="Times New Roman"/>
        </w:rPr>
        <w:t>.</w:t>
      </w:r>
      <w:r w:rsidR="00C25CA3">
        <w:rPr>
          <w:rStyle w:val="FootnoteReference"/>
          <w:rFonts w:ascii="Times New Roman" w:hAnsi="Times New Roman" w:cs="Times New Roman"/>
        </w:rPr>
        <w:footnoteReference w:id="22"/>
      </w:r>
      <w:r w:rsidR="006B3A6A">
        <w:rPr>
          <w:rFonts w:ascii="Times New Roman" w:hAnsi="Times New Roman" w:cs="Times New Roman"/>
        </w:rPr>
        <w:t xml:space="preserve"> </w:t>
      </w:r>
      <w:r w:rsidR="00672B24" w:rsidRPr="00672B24">
        <w:rPr>
          <w:rFonts w:ascii="Times New Roman" w:hAnsi="Times New Roman" w:cs="Times New Roman"/>
        </w:rPr>
        <w:t xml:space="preserve">Disagreements, such as the one over the nature of Jesus Christ, which occur outside the shared recognition of the same normative source—such as the Bible in the disagreement between the </w:t>
      </w:r>
      <w:proofErr w:type="spellStart"/>
      <w:r w:rsidR="00672B24" w:rsidRPr="00672B24">
        <w:rPr>
          <w:rFonts w:ascii="Times New Roman" w:hAnsi="Times New Roman" w:cs="Times New Roman"/>
        </w:rPr>
        <w:t>Niceans</w:t>
      </w:r>
      <w:proofErr w:type="spellEnd"/>
      <w:r w:rsidR="00672B24" w:rsidRPr="00672B24">
        <w:rPr>
          <w:rFonts w:ascii="Times New Roman" w:hAnsi="Times New Roman" w:cs="Times New Roman"/>
        </w:rPr>
        <w:t xml:space="preserve"> and Arians discussed in (§2.1)—can be understood through a hinge-theoretic framework. Ultimately, such disagreements revolve around which religious text—whether the Bible or the Qur’an, in this case—is regarded as the most fundamental normative authority.</w:t>
      </w:r>
    </w:p>
    <w:p w14:paraId="733039FB" w14:textId="77777777" w:rsidR="0051365E" w:rsidRPr="00672B24" w:rsidRDefault="0051365E" w:rsidP="00672B24">
      <w:pPr>
        <w:spacing w:line="360" w:lineRule="auto"/>
        <w:jc w:val="both"/>
        <w:rPr>
          <w:rFonts w:ascii="Times New Roman" w:hAnsi="Times New Roman" w:cs="Times New Roman"/>
        </w:rPr>
      </w:pPr>
    </w:p>
    <w:p w14:paraId="20CA2688" w14:textId="50F845B9" w:rsidR="00672B24" w:rsidRPr="00672B24" w:rsidRDefault="00D64788" w:rsidP="00672B24">
      <w:pPr>
        <w:pStyle w:val="ListParagraph"/>
        <w:numPr>
          <w:ilvl w:val="0"/>
          <w:numId w:val="1"/>
        </w:numPr>
        <w:spacing w:before="360" w:after="120" w:line="360" w:lineRule="auto"/>
        <w:jc w:val="both"/>
        <w:rPr>
          <w:rFonts w:ascii="Times New Roman" w:hAnsi="Times New Roman" w:cs="Times New Roman"/>
          <w:b/>
          <w:bCs/>
          <w:lang w:val="fr-FR"/>
        </w:rPr>
      </w:pPr>
      <w:r w:rsidRPr="00672B24">
        <w:rPr>
          <w:rFonts w:ascii="Times New Roman" w:hAnsi="Times New Roman" w:cs="Times New Roman"/>
          <w:b/>
          <w:bCs/>
          <w:lang w:val="fr-FR"/>
        </w:rPr>
        <w:t>T</w:t>
      </w:r>
      <w:r w:rsidR="00606E7F" w:rsidRPr="00672B24">
        <w:rPr>
          <w:rFonts w:ascii="Times New Roman" w:hAnsi="Times New Roman" w:cs="Times New Roman"/>
          <w:b/>
          <w:bCs/>
          <w:lang w:val="fr-FR"/>
        </w:rPr>
        <w:t xml:space="preserve">radition and conversion </w:t>
      </w:r>
      <w:r w:rsidR="00186A25" w:rsidRPr="00672B24">
        <w:rPr>
          <w:rFonts w:ascii="Times New Roman" w:hAnsi="Times New Roman" w:cs="Times New Roman"/>
          <w:b/>
          <w:bCs/>
          <w:lang w:val="fr-FR"/>
        </w:rPr>
        <w:t>vis-à-vis</w:t>
      </w:r>
      <w:r w:rsidR="00606E7F" w:rsidRPr="00672B24">
        <w:rPr>
          <w:rFonts w:ascii="Times New Roman" w:hAnsi="Times New Roman" w:cs="Times New Roman"/>
          <w:b/>
          <w:bCs/>
          <w:lang w:val="fr-FR"/>
        </w:rPr>
        <w:t xml:space="preserve"> inter</w:t>
      </w:r>
      <w:r w:rsidR="009468CC" w:rsidRPr="00672B24">
        <w:rPr>
          <w:rFonts w:ascii="Times New Roman" w:hAnsi="Times New Roman" w:cs="Times New Roman"/>
          <w:b/>
          <w:bCs/>
          <w:lang w:val="fr-FR"/>
        </w:rPr>
        <w:t>-</w:t>
      </w:r>
      <w:proofErr w:type="spellStart"/>
      <w:r w:rsidR="009468CC" w:rsidRPr="00672B24">
        <w:rPr>
          <w:rFonts w:ascii="Times New Roman" w:hAnsi="Times New Roman" w:cs="Times New Roman"/>
          <w:b/>
          <w:bCs/>
          <w:lang w:val="fr-FR"/>
        </w:rPr>
        <w:t>religious</w:t>
      </w:r>
      <w:proofErr w:type="spellEnd"/>
      <w:r w:rsidR="009468CC" w:rsidRPr="00672B24">
        <w:rPr>
          <w:rFonts w:ascii="Times New Roman" w:hAnsi="Times New Roman" w:cs="Times New Roman"/>
          <w:b/>
          <w:bCs/>
          <w:lang w:val="fr-FR"/>
        </w:rPr>
        <w:t xml:space="preserve"> </w:t>
      </w:r>
      <w:proofErr w:type="spellStart"/>
      <w:r w:rsidR="009468CC" w:rsidRPr="00672B24">
        <w:rPr>
          <w:rFonts w:ascii="Times New Roman" w:hAnsi="Times New Roman" w:cs="Times New Roman"/>
          <w:b/>
          <w:bCs/>
          <w:lang w:val="fr-FR"/>
        </w:rPr>
        <w:t>disagreement</w:t>
      </w:r>
      <w:proofErr w:type="spellEnd"/>
    </w:p>
    <w:p w14:paraId="410C38D8" w14:textId="7D2BCA0E" w:rsidR="00907412" w:rsidRDefault="00907412" w:rsidP="005800A1">
      <w:pPr>
        <w:spacing w:after="120" w:line="360" w:lineRule="auto"/>
        <w:jc w:val="both"/>
        <w:rPr>
          <w:rFonts w:ascii="Times New Roman" w:eastAsia="Times New Roman" w:hAnsi="Times New Roman" w:cs="Times New Roman"/>
        </w:rPr>
      </w:pPr>
      <w:r>
        <w:rPr>
          <w:rFonts w:ascii="Times New Roman" w:hAnsi="Times New Roman" w:cs="Times New Roman"/>
        </w:rPr>
        <w:t xml:space="preserve">Can this third kind of religious disagreement be </w:t>
      </w:r>
      <w:r w:rsidR="001D403C">
        <w:rPr>
          <w:rFonts w:ascii="Times New Roman" w:hAnsi="Times New Roman" w:cs="Times New Roman"/>
        </w:rPr>
        <w:t xml:space="preserve">rationally </w:t>
      </w:r>
      <w:r>
        <w:rPr>
          <w:rFonts w:ascii="Times New Roman" w:hAnsi="Times New Roman" w:cs="Times New Roman"/>
        </w:rPr>
        <w:t>resolved? According to the hinge-</w:t>
      </w:r>
      <w:proofErr w:type="gramStart"/>
      <w:r>
        <w:rPr>
          <w:rFonts w:ascii="Times New Roman" w:hAnsi="Times New Roman" w:cs="Times New Roman"/>
        </w:rPr>
        <w:t>theoretic</w:t>
      </w:r>
      <w:proofErr w:type="gramEnd"/>
      <w:r>
        <w:rPr>
          <w:rFonts w:ascii="Times New Roman" w:hAnsi="Times New Roman" w:cs="Times New Roman"/>
        </w:rPr>
        <w:t xml:space="preserve"> framework we have been utilizing thus far, the answer is in the negative. For, although the most fundamental hinge – “God exists” – is held in common, the source of normative authority is different – the Bible </w:t>
      </w:r>
      <w:r w:rsidR="00186A25">
        <w:rPr>
          <w:rFonts w:ascii="Times New Roman" w:hAnsi="Times New Roman" w:cs="Times New Roman"/>
        </w:rPr>
        <w:t>as opposed to</w:t>
      </w:r>
      <w:r>
        <w:rPr>
          <w:rFonts w:ascii="Times New Roman" w:hAnsi="Times New Roman" w:cs="Times New Roman"/>
        </w:rPr>
        <w:t xml:space="preserve"> the </w:t>
      </w:r>
      <w:r w:rsidRPr="005800A1">
        <w:rPr>
          <w:rFonts w:ascii="Times New Roman" w:eastAsia="Times New Roman" w:hAnsi="Times New Roman" w:cs="Times New Roman"/>
        </w:rPr>
        <w:t>Qur’an</w:t>
      </w:r>
      <w:r>
        <w:rPr>
          <w:rFonts w:ascii="Times New Roman" w:eastAsia="Times New Roman" w:hAnsi="Times New Roman" w:cs="Times New Roman"/>
        </w:rPr>
        <w:t xml:space="preserve">. </w:t>
      </w:r>
    </w:p>
    <w:p w14:paraId="4E79BEC2" w14:textId="44F80FE9" w:rsidR="00907412" w:rsidRDefault="00907412" w:rsidP="005800A1">
      <w:pPr>
        <w:spacing w:after="120" w:line="360" w:lineRule="auto"/>
        <w:jc w:val="both"/>
        <w:rPr>
          <w:rFonts w:ascii="Times New Roman" w:hAnsi="Times New Roman" w:cs="Times New Roman"/>
        </w:rPr>
      </w:pPr>
      <w:r>
        <w:rPr>
          <w:rFonts w:ascii="Times New Roman" w:eastAsia="Times New Roman" w:hAnsi="Times New Roman" w:cs="Times New Roman"/>
        </w:rPr>
        <w:t>This case would</w:t>
      </w:r>
      <w:r w:rsidR="005F60F5">
        <w:rPr>
          <w:rFonts w:ascii="Times New Roman" w:eastAsia="Times New Roman" w:hAnsi="Times New Roman" w:cs="Times New Roman"/>
        </w:rPr>
        <w:t xml:space="preserve"> somewhat</w:t>
      </w:r>
      <w:r w:rsidR="00192215">
        <w:rPr>
          <w:rStyle w:val="FootnoteReference"/>
          <w:rFonts w:ascii="Times New Roman" w:eastAsia="Times New Roman" w:hAnsi="Times New Roman" w:cs="Times New Roman"/>
        </w:rPr>
        <w:footnoteReference w:id="23"/>
      </w:r>
      <w:r>
        <w:rPr>
          <w:rFonts w:ascii="Times New Roman" w:eastAsia="Times New Roman" w:hAnsi="Times New Roman" w:cs="Times New Roman"/>
        </w:rPr>
        <w:t xml:space="preserve"> be similar to the one of two people who</w:t>
      </w:r>
      <w:r w:rsidR="003F1DCC">
        <w:rPr>
          <w:rFonts w:ascii="Times New Roman" w:eastAsia="Times New Roman" w:hAnsi="Times New Roman" w:cs="Times New Roman"/>
        </w:rPr>
        <w:t>,</w:t>
      </w:r>
      <w:r>
        <w:rPr>
          <w:rFonts w:ascii="Times New Roman" w:eastAsia="Times New Roman" w:hAnsi="Times New Roman" w:cs="Times New Roman"/>
        </w:rPr>
        <w:t xml:space="preserve"> having agreed to split the bill evenly</w:t>
      </w:r>
      <w:r w:rsidR="003F1DCC">
        <w:rPr>
          <w:rFonts w:ascii="Times New Roman" w:eastAsia="Times New Roman" w:hAnsi="Times New Roman" w:cs="Times New Roman"/>
        </w:rPr>
        <w:t>,</w:t>
      </w:r>
      <w:r>
        <w:rPr>
          <w:rFonts w:ascii="Times New Roman" w:eastAsia="Times New Roman" w:hAnsi="Times New Roman" w:cs="Times New Roman"/>
        </w:rPr>
        <w:t xml:space="preserve"> would both hold that there are physical objects, say, and yet one </w:t>
      </w:r>
      <w:r w:rsidR="00FB18BA">
        <w:rPr>
          <w:rFonts w:ascii="Times New Roman" w:eastAsia="Times New Roman" w:hAnsi="Times New Roman" w:cs="Times New Roman"/>
        </w:rPr>
        <w:t xml:space="preserve">of them </w:t>
      </w:r>
      <w:r>
        <w:rPr>
          <w:rFonts w:ascii="Times New Roman" w:eastAsia="Times New Roman" w:hAnsi="Times New Roman" w:cs="Times New Roman"/>
        </w:rPr>
        <w:t xml:space="preserve">would </w:t>
      </w:r>
      <w:r w:rsidR="0019336E">
        <w:rPr>
          <w:rFonts w:ascii="Times New Roman" w:eastAsia="Times New Roman" w:hAnsi="Times New Roman" w:cs="Times New Roman"/>
        </w:rPr>
        <w:t xml:space="preserve">deny that results reached through the use of a calculator are reliable </w:t>
      </w:r>
      <w:r w:rsidR="0041065D">
        <w:rPr>
          <w:rFonts w:ascii="Times New Roman" w:eastAsia="Times New Roman" w:hAnsi="Times New Roman" w:cs="Times New Roman"/>
        </w:rPr>
        <w:t>(</w:t>
      </w:r>
      <w:r w:rsidR="00F17216">
        <w:rPr>
          <w:rFonts w:ascii="Times New Roman" w:eastAsia="Times New Roman" w:hAnsi="Times New Roman" w:cs="Times New Roman"/>
        </w:rPr>
        <w:t>or</w:t>
      </w:r>
      <w:r w:rsidR="0041065D">
        <w:rPr>
          <w:rFonts w:ascii="Times New Roman" w:eastAsia="Times New Roman" w:hAnsi="Times New Roman" w:cs="Times New Roman"/>
        </w:rPr>
        <w:t xml:space="preserve">, at least, </w:t>
      </w:r>
      <w:r w:rsidR="00F17216">
        <w:rPr>
          <w:rFonts w:ascii="Times New Roman" w:eastAsia="Times New Roman" w:hAnsi="Times New Roman" w:cs="Times New Roman"/>
        </w:rPr>
        <w:t>as reliable as the ones obtained through mental calculation</w:t>
      </w:r>
      <w:r w:rsidR="0041065D">
        <w:rPr>
          <w:rFonts w:ascii="Times New Roman" w:eastAsia="Times New Roman" w:hAnsi="Times New Roman" w:cs="Times New Roman"/>
        </w:rPr>
        <w:t>)</w:t>
      </w:r>
      <w:r w:rsidR="00F17216">
        <w:rPr>
          <w:rFonts w:ascii="Times New Roman" w:eastAsia="Times New Roman" w:hAnsi="Times New Roman" w:cs="Times New Roman"/>
        </w:rPr>
        <w:t xml:space="preserve">, </w:t>
      </w:r>
      <w:r w:rsidR="0019336E">
        <w:rPr>
          <w:rFonts w:ascii="Times New Roman" w:eastAsia="Times New Roman" w:hAnsi="Times New Roman" w:cs="Times New Roman"/>
        </w:rPr>
        <w:t xml:space="preserve">and </w:t>
      </w:r>
      <w:r w:rsidR="00006B6E">
        <w:rPr>
          <w:rFonts w:ascii="Times New Roman" w:eastAsia="Times New Roman" w:hAnsi="Times New Roman" w:cs="Times New Roman"/>
        </w:rPr>
        <w:t xml:space="preserve">would </w:t>
      </w:r>
      <w:r w:rsidR="0095018D">
        <w:rPr>
          <w:rFonts w:ascii="Times New Roman" w:eastAsia="Times New Roman" w:hAnsi="Times New Roman" w:cs="Times New Roman"/>
        </w:rPr>
        <w:t xml:space="preserve">use the latter method in their calculations, and ultimately </w:t>
      </w:r>
      <w:r w:rsidR="00B6224F">
        <w:rPr>
          <w:rFonts w:ascii="Times New Roman" w:eastAsia="Times New Roman" w:hAnsi="Times New Roman" w:cs="Times New Roman"/>
        </w:rPr>
        <w:t>appeal</w:t>
      </w:r>
      <w:r w:rsidR="0019336E">
        <w:rPr>
          <w:rFonts w:ascii="Times New Roman" w:eastAsia="Times New Roman" w:hAnsi="Times New Roman" w:cs="Times New Roman"/>
        </w:rPr>
        <w:t xml:space="preserve"> to </w:t>
      </w:r>
      <w:r w:rsidR="0095018D">
        <w:rPr>
          <w:rFonts w:ascii="Times New Roman" w:eastAsia="Times New Roman" w:hAnsi="Times New Roman" w:cs="Times New Roman"/>
        </w:rPr>
        <w:t>it</w:t>
      </w:r>
      <w:r w:rsidR="00BC557D">
        <w:rPr>
          <w:rFonts w:ascii="Times New Roman" w:eastAsia="Times New Roman" w:hAnsi="Times New Roman" w:cs="Times New Roman"/>
        </w:rPr>
        <w:t xml:space="preserve"> to arbitrate any discrepancy</w:t>
      </w:r>
      <w:r w:rsidR="0019336E">
        <w:rPr>
          <w:rFonts w:ascii="Times New Roman" w:eastAsia="Times New Roman" w:hAnsi="Times New Roman" w:cs="Times New Roman"/>
        </w:rPr>
        <w:t>.</w:t>
      </w:r>
    </w:p>
    <w:p w14:paraId="31C9D64A" w14:textId="14728D9B" w:rsidR="00064AF6" w:rsidRDefault="000E2539" w:rsidP="005800A1">
      <w:pPr>
        <w:spacing w:after="120" w:line="360" w:lineRule="auto"/>
        <w:jc w:val="both"/>
        <w:rPr>
          <w:rFonts w:ascii="Times New Roman" w:hAnsi="Times New Roman" w:cs="Times New Roman"/>
        </w:rPr>
      </w:pPr>
      <w:r>
        <w:rPr>
          <w:rFonts w:ascii="Times New Roman" w:hAnsi="Times New Roman" w:cs="Times New Roman"/>
        </w:rPr>
        <w:t>Thus, this third kind of religious disagreement, much like</w:t>
      </w:r>
      <w:r w:rsidR="00F167D4">
        <w:rPr>
          <w:rFonts w:ascii="Times New Roman" w:hAnsi="Times New Roman" w:cs="Times New Roman"/>
        </w:rPr>
        <w:t xml:space="preserve"> </w:t>
      </w:r>
      <w:r>
        <w:rPr>
          <w:rFonts w:ascii="Times New Roman" w:hAnsi="Times New Roman" w:cs="Times New Roman"/>
        </w:rPr>
        <w:t>cases</w:t>
      </w:r>
      <w:r w:rsidR="00F167D4">
        <w:rPr>
          <w:rFonts w:ascii="Times New Roman" w:hAnsi="Times New Roman" w:cs="Times New Roman"/>
        </w:rPr>
        <w:t xml:space="preserve"> of “deep” religious disagreement,</w:t>
      </w:r>
      <w:r w:rsidR="00D945F0">
        <w:rPr>
          <w:rFonts w:ascii="Times New Roman" w:hAnsi="Times New Roman" w:cs="Times New Roman"/>
        </w:rPr>
        <w:t xml:space="preserve"> cannot be rationally decided. </w:t>
      </w:r>
      <w:r>
        <w:rPr>
          <w:rFonts w:ascii="Times New Roman" w:hAnsi="Times New Roman" w:cs="Times New Roman"/>
        </w:rPr>
        <w:t xml:space="preserve">Here too, however, the hinge-theoretic framework proves useful and in keeping with </w:t>
      </w:r>
      <w:r w:rsidR="00365350">
        <w:rPr>
          <w:rFonts w:ascii="Times New Roman" w:hAnsi="Times New Roman" w:cs="Times New Roman"/>
        </w:rPr>
        <w:t>common sense. For, key to the kinds of hinge we hold, for Wittgenstein, is the community from which we “inherit” them.</w:t>
      </w:r>
      <w:r w:rsidR="00064AF6">
        <w:rPr>
          <w:rFonts w:ascii="Times New Roman" w:hAnsi="Times New Roman" w:cs="Times New Roman"/>
        </w:rPr>
        <w:t xml:space="preserve"> Here’s a telling passage in OC (94</w:t>
      </w:r>
      <w:r w:rsidR="009629DC">
        <w:rPr>
          <w:rFonts w:ascii="Times New Roman" w:hAnsi="Times New Roman" w:cs="Times New Roman"/>
        </w:rPr>
        <w:t>, my emphasis</w:t>
      </w:r>
      <w:r w:rsidR="00064AF6">
        <w:rPr>
          <w:rFonts w:ascii="Times New Roman" w:hAnsi="Times New Roman" w:cs="Times New Roman"/>
        </w:rPr>
        <w:t>):</w:t>
      </w:r>
    </w:p>
    <w:p w14:paraId="4286B3C0" w14:textId="77777777" w:rsidR="00064AF6" w:rsidRPr="00064AF6" w:rsidRDefault="00064AF6" w:rsidP="00064AF6">
      <w:pPr>
        <w:spacing w:line="360" w:lineRule="auto"/>
        <w:ind w:left="720"/>
        <w:jc w:val="both"/>
        <w:rPr>
          <w:rFonts w:ascii="Times New Roman" w:hAnsi="Times New Roman" w:cs="Times New Roman"/>
        </w:rPr>
      </w:pPr>
      <w:r w:rsidRPr="00064AF6">
        <w:rPr>
          <w:rFonts w:ascii="Times New Roman" w:hAnsi="Times New Roman" w:cs="Times New Roman"/>
        </w:rPr>
        <w:lastRenderedPageBreak/>
        <w:t xml:space="preserve">But I did not get my picture of the world by satisfying myself </w:t>
      </w:r>
      <w:proofErr w:type="gramStart"/>
      <w:r w:rsidRPr="00064AF6">
        <w:rPr>
          <w:rFonts w:ascii="Times New Roman" w:hAnsi="Times New Roman" w:cs="Times New Roman"/>
        </w:rPr>
        <w:t>of</w:t>
      </w:r>
      <w:proofErr w:type="gramEnd"/>
      <w:r w:rsidRPr="00064AF6">
        <w:rPr>
          <w:rFonts w:ascii="Times New Roman" w:hAnsi="Times New Roman" w:cs="Times New Roman"/>
        </w:rPr>
        <w:t xml:space="preserve"> its correctness: nor do I have it because I am satisfied </w:t>
      </w:r>
      <w:proofErr w:type="gramStart"/>
      <w:r w:rsidRPr="00064AF6">
        <w:rPr>
          <w:rFonts w:ascii="Times New Roman" w:hAnsi="Times New Roman" w:cs="Times New Roman"/>
        </w:rPr>
        <w:t>of</w:t>
      </w:r>
      <w:proofErr w:type="gramEnd"/>
      <w:r w:rsidRPr="00064AF6">
        <w:rPr>
          <w:rFonts w:ascii="Times New Roman" w:hAnsi="Times New Roman" w:cs="Times New Roman"/>
        </w:rPr>
        <w:t xml:space="preserve"> its correctness. No: it is the </w:t>
      </w:r>
      <w:r w:rsidRPr="009629DC">
        <w:rPr>
          <w:rFonts w:ascii="Times New Roman" w:hAnsi="Times New Roman" w:cs="Times New Roman"/>
          <w:i/>
          <w:iCs/>
        </w:rPr>
        <w:t>inherited background</w:t>
      </w:r>
      <w:r w:rsidRPr="00064AF6">
        <w:rPr>
          <w:rFonts w:ascii="Times New Roman" w:hAnsi="Times New Roman" w:cs="Times New Roman"/>
        </w:rPr>
        <w:t xml:space="preserve"> against which I distinguish between true and false.</w:t>
      </w:r>
    </w:p>
    <w:p w14:paraId="5F98DAEC" w14:textId="57A3C4B5" w:rsidR="007F10C8" w:rsidRDefault="004C1E57" w:rsidP="005800A1">
      <w:pPr>
        <w:spacing w:after="120" w:line="360" w:lineRule="auto"/>
        <w:jc w:val="both"/>
        <w:rPr>
          <w:rFonts w:ascii="Times New Roman" w:hAnsi="Times New Roman" w:cs="Times New Roman"/>
        </w:rPr>
      </w:pPr>
      <w:r w:rsidRPr="004C1E57">
        <w:rPr>
          <w:rFonts w:ascii="Times New Roman" w:hAnsi="Times New Roman" w:cs="Times New Roman"/>
        </w:rPr>
        <w:t>This is particularly evident in the context of religion, where faith is typically grounded in the tradition that has transmitted the hinge determining the source of normative authority in religious matters</w:t>
      </w:r>
      <w:r>
        <w:rPr>
          <w:rFonts w:ascii="Times New Roman" w:hAnsi="Times New Roman" w:cs="Times New Roman"/>
        </w:rPr>
        <w:t xml:space="preserve"> – </w:t>
      </w:r>
      <w:r w:rsidRPr="004C1E57">
        <w:rPr>
          <w:rFonts w:ascii="Times New Roman" w:hAnsi="Times New Roman" w:cs="Times New Roman"/>
        </w:rPr>
        <w:t>Christianity in the case of the Bible, and Islam in the case of the Qur’an.</w:t>
      </w:r>
      <w:r>
        <w:rPr>
          <w:rFonts w:ascii="Times New Roman" w:hAnsi="Times New Roman" w:cs="Times New Roman"/>
        </w:rPr>
        <w:t xml:space="preserve"> </w:t>
      </w:r>
      <w:r w:rsidR="00E2065A">
        <w:rPr>
          <w:rFonts w:ascii="Times New Roman" w:hAnsi="Times New Roman" w:cs="Times New Roman"/>
        </w:rPr>
        <w:t>If so, once again</w:t>
      </w:r>
      <w:r w:rsidR="0016023A">
        <w:rPr>
          <w:rFonts w:ascii="Times New Roman" w:hAnsi="Times New Roman" w:cs="Times New Roman"/>
        </w:rPr>
        <w:t xml:space="preserve"> only conversion could </w:t>
      </w:r>
      <w:r w:rsidR="00F70B39">
        <w:rPr>
          <w:rFonts w:ascii="Times New Roman" w:hAnsi="Times New Roman" w:cs="Times New Roman"/>
        </w:rPr>
        <w:t xml:space="preserve">have one abandon </w:t>
      </w:r>
      <w:r w:rsidR="00E2065A">
        <w:rPr>
          <w:rFonts w:ascii="Times New Roman" w:hAnsi="Times New Roman" w:cs="Times New Roman"/>
        </w:rPr>
        <w:t>that hinge</w:t>
      </w:r>
      <w:r w:rsidR="00F70B39">
        <w:rPr>
          <w:rFonts w:ascii="Times New Roman" w:hAnsi="Times New Roman" w:cs="Times New Roman"/>
        </w:rPr>
        <w:t xml:space="preserve"> in favor of a different </w:t>
      </w:r>
      <w:r w:rsidR="00E2065A">
        <w:rPr>
          <w:rFonts w:ascii="Times New Roman" w:hAnsi="Times New Roman" w:cs="Times New Roman"/>
        </w:rPr>
        <w:t>one</w:t>
      </w:r>
      <w:r w:rsidR="00F70B39">
        <w:rPr>
          <w:rFonts w:ascii="Times New Roman" w:hAnsi="Times New Roman" w:cs="Times New Roman"/>
        </w:rPr>
        <w:t xml:space="preserve">. </w:t>
      </w:r>
    </w:p>
    <w:p w14:paraId="42DCED24" w14:textId="14D17404" w:rsidR="00D31237" w:rsidRDefault="007F10C8" w:rsidP="005800A1">
      <w:pPr>
        <w:spacing w:after="120" w:line="360" w:lineRule="auto"/>
        <w:jc w:val="both"/>
        <w:rPr>
          <w:rFonts w:ascii="Times New Roman" w:hAnsi="Times New Roman" w:cs="Times New Roman"/>
        </w:rPr>
      </w:pPr>
      <w:r>
        <w:rPr>
          <w:rFonts w:ascii="Times New Roman" w:hAnsi="Times New Roman" w:cs="Times New Roman"/>
        </w:rPr>
        <w:t>Here too, a hinge-</w:t>
      </w:r>
      <w:proofErr w:type="gramStart"/>
      <w:r>
        <w:rPr>
          <w:rFonts w:ascii="Times New Roman" w:hAnsi="Times New Roman" w:cs="Times New Roman"/>
        </w:rPr>
        <w:t>theoretic</w:t>
      </w:r>
      <w:proofErr w:type="gramEnd"/>
      <w:r>
        <w:rPr>
          <w:rFonts w:ascii="Times New Roman" w:hAnsi="Times New Roman" w:cs="Times New Roman"/>
        </w:rPr>
        <w:t xml:space="preserve"> framework is helpful. </w:t>
      </w:r>
      <w:r w:rsidR="00D31237">
        <w:rPr>
          <w:rFonts w:ascii="Times New Roman" w:hAnsi="Times New Roman" w:cs="Times New Roman"/>
        </w:rPr>
        <w:t xml:space="preserve">As Wittgenstein writes in (OC 92, my </w:t>
      </w:r>
      <w:r w:rsidR="001D5845">
        <w:rPr>
          <w:rFonts w:ascii="Times New Roman" w:hAnsi="Times New Roman" w:cs="Times New Roman"/>
        </w:rPr>
        <w:t>emphasis</w:t>
      </w:r>
      <w:r w:rsidR="00D31237">
        <w:rPr>
          <w:rFonts w:ascii="Times New Roman" w:hAnsi="Times New Roman" w:cs="Times New Roman"/>
        </w:rPr>
        <w:t>):</w:t>
      </w:r>
    </w:p>
    <w:p w14:paraId="15005233" w14:textId="04648F6A" w:rsidR="00D31237" w:rsidRPr="00D31237" w:rsidRDefault="00D31237" w:rsidP="00D31237">
      <w:pPr>
        <w:spacing w:line="360" w:lineRule="auto"/>
        <w:ind w:left="720"/>
        <w:jc w:val="both"/>
        <w:rPr>
          <w:rFonts w:ascii="Times New Roman" w:hAnsi="Times New Roman" w:cs="Times New Roman"/>
        </w:rPr>
      </w:pPr>
      <w:r w:rsidRPr="00D31237">
        <w:rPr>
          <w:rFonts w:ascii="Times New Roman" w:hAnsi="Times New Roman" w:cs="Times New Roman"/>
        </w:rPr>
        <w:t xml:space="preserve">May someone </w:t>
      </w:r>
      <w:proofErr w:type="gramStart"/>
      <w:r w:rsidRPr="00D31237">
        <w:rPr>
          <w:rFonts w:ascii="Times New Roman" w:hAnsi="Times New Roman" w:cs="Times New Roman"/>
        </w:rPr>
        <w:t>have</w:t>
      </w:r>
      <w:proofErr w:type="gramEnd"/>
      <w:r w:rsidRPr="00D31237">
        <w:rPr>
          <w:rFonts w:ascii="Times New Roman" w:hAnsi="Times New Roman" w:cs="Times New Roman"/>
        </w:rPr>
        <w:t xml:space="preserve"> telling grounds for believing that the earth has only existed for a short time, say since his own </w:t>
      </w:r>
      <w:proofErr w:type="gramStart"/>
      <w:r w:rsidRPr="00D31237">
        <w:rPr>
          <w:rFonts w:ascii="Times New Roman" w:hAnsi="Times New Roman" w:cs="Times New Roman"/>
        </w:rPr>
        <w:t>birth?—</w:t>
      </w:r>
      <w:proofErr w:type="gramEnd"/>
      <w:r w:rsidRPr="00D31237">
        <w:rPr>
          <w:rFonts w:ascii="Times New Roman" w:hAnsi="Times New Roman" w:cs="Times New Roman"/>
        </w:rPr>
        <w:t xml:space="preserve">Suppose </w:t>
      </w:r>
      <w:r w:rsidRPr="001D5845">
        <w:rPr>
          <w:rFonts w:ascii="Times New Roman" w:hAnsi="Times New Roman" w:cs="Times New Roman"/>
          <w:i/>
          <w:iCs/>
        </w:rPr>
        <w:t xml:space="preserve">he had always been told </w:t>
      </w:r>
      <w:proofErr w:type="gramStart"/>
      <w:r w:rsidRPr="001D5845">
        <w:rPr>
          <w:rFonts w:ascii="Times New Roman" w:hAnsi="Times New Roman" w:cs="Times New Roman"/>
          <w:i/>
          <w:iCs/>
        </w:rPr>
        <w:t>that</w:t>
      </w:r>
      <w:r w:rsidRPr="00D31237">
        <w:rPr>
          <w:rFonts w:ascii="Times New Roman" w:hAnsi="Times New Roman" w:cs="Times New Roman"/>
        </w:rPr>
        <w:t>,—</w:t>
      </w:r>
      <w:proofErr w:type="gramEnd"/>
      <w:r w:rsidRPr="00D31237">
        <w:rPr>
          <w:rFonts w:ascii="Times New Roman" w:hAnsi="Times New Roman" w:cs="Times New Roman"/>
        </w:rPr>
        <w:t xml:space="preserve"> would he have any good reason to doubt it? … Why should not a king </w:t>
      </w:r>
      <w:r w:rsidRPr="001D5845">
        <w:rPr>
          <w:rFonts w:ascii="Times New Roman" w:hAnsi="Times New Roman" w:cs="Times New Roman"/>
          <w:i/>
          <w:iCs/>
        </w:rPr>
        <w:t>be brought up</w:t>
      </w:r>
      <w:r w:rsidRPr="00D31237">
        <w:rPr>
          <w:rFonts w:ascii="Times New Roman" w:hAnsi="Times New Roman" w:cs="Times New Roman"/>
        </w:rPr>
        <w:t xml:space="preserve"> </w:t>
      </w:r>
      <w:r w:rsidRPr="001D5845">
        <w:rPr>
          <w:rFonts w:ascii="Times New Roman" w:hAnsi="Times New Roman" w:cs="Times New Roman"/>
          <w:i/>
          <w:iCs/>
        </w:rPr>
        <w:t>in the belief that the world began with him</w:t>
      </w:r>
      <w:r w:rsidRPr="00D31237">
        <w:rPr>
          <w:rFonts w:ascii="Times New Roman" w:hAnsi="Times New Roman" w:cs="Times New Roman"/>
        </w:rPr>
        <w:t xml:space="preserve">? And if Moore and this king were to meet …, could Moore really prove his belief to be the right one? I do not say that Moore could not </w:t>
      </w:r>
      <w:r w:rsidRPr="00D31237">
        <w:rPr>
          <w:rFonts w:ascii="Times New Roman" w:hAnsi="Times New Roman" w:cs="Times New Roman"/>
          <w:i/>
          <w:iCs/>
        </w:rPr>
        <w:t>convert</w:t>
      </w:r>
      <w:r w:rsidRPr="00D31237">
        <w:rPr>
          <w:rFonts w:ascii="Times New Roman" w:hAnsi="Times New Roman" w:cs="Times New Roman"/>
        </w:rPr>
        <w:t xml:space="preserve"> the king to his view, but it would be a conversion of a special kind; the king would be brought to look at the world in a different way. </w:t>
      </w:r>
    </w:p>
    <w:p w14:paraId="289F4002" w14:textId="50274E3F" w:rsidR="007F10C8" w:rsidRDefault="0061436D" w:rsidP="005800A1">
      <w:pPr>
        <w:spacing w:after="120" w:line="360" w:lineRule="auto"/>
        <w:jc w:val="both"/>
        <w:rPr>
          <w:rFonts w:ascii="Times New Roman" w:hAnsi="Times New Roman" w:cs="Times New Roman"/>
        </w:rPr>
      </w:pPr>
      <w:r>
        <w:rPr>
          <w:rFonts w:ascii="Times New Roman" w:hAnsi="Times New Roman" w:cs="Times New Roman"/>
        </w:rPr>
        <w:t xml:space="preserve">That is, for </w:t>
      </w:r>
      <w:r w:rsidR="0091003D">
        <w:rPr>
          <w:rFonts w:ascii="Times New Roman" w:hAnsi="Times New Roman" w:cs="Times New Roman"/>
        </w:rPr>
        <w:t>Wittgenstein</w:t>
      </w:r>
      <w:r>
        <w:rPr>
          <w:rFonts w:ascii="Times New Roman" w:hAnsi="Times New Roman" w:cs="Times New Roman"/>
        </w:rPr>
        <w:t>, the passage from a religious outlook to, in this case, a scientific one, is based on a conversion</w:t>
      </w:r>
      <w:r w:rsidR="00275250">
        <w:rPr>
          <w:rFonts w:ascii="Times New Roman" w:hAnsi="Times New Roman" w:cs="Times New Roman"/>
        </w:rPr>
        <w:t>, in which the normative authority is transferred from priests to scientists, say.</w:t>
      </w:r>
      <w:r w:rsidR="00275250">
        <w:rPr>
          <w:rStyle w:val="FootnoteReference"/>
          <w:rFonts w:ascii="Times New Roman" w:hAnsi="Times New Roman" w:cs="Times New Roman"/>
        </w:rPr>
        <w:footnoteReference w:id="24"/>
      </w:r>
      <w:r w:rsidR="00275250">
        <w:rPr>
          <w:rFonts w:ascii="Times New Roman" w:hAnsi="Times New Roman" w:cs="Times New Roman"/>
        </w:rPr>
        <w:t xml:space="preserve"> </w:t>
      </w:r>
    </w:p>
    <w:p w14:paraId="6771A446" w14:textId="47734239" w:rsidR="00A50554" w:rsidRDefault="00A50554" w:rsidP="00A50554">
      <w:pPr>
        <w:spacing w:after="120" w:line="360" w:lineRule="auto"/>
        <w:jc w:val="both"/>
        <w:rPr>
          <w:rFonts w:ascii="Times New Roman" w:hAnsi="Times New Roman" w:cs="Times New Roman"/>
        </w:rPr>
      </w:pPr>
      <w:r w:rsidRPr="00A50554">
        <w:rPr>
          <w:rFonts w:ascii="Times New Roman" w:hAnsi="Times New Roman" w:cs="Times New Roman"/>
        </w:rPr>
        <w:t>In the religious context, the source of normative authority is typically inherited from the community to which one belongs. Consequently, any change in this source of authority would require a conversion</w:t>
      </w:r>
      <w:r w:rsidR="006A246E">
        <w:rPr>
          <w:rFonts w:ascii="Times New Roman" w:hAnsi="Times New Roman" w:cs="Times New Roman"/>
        </w:rPr>
        <w:t xml:space="preserve"> – </w:t>
      </w:r>
      <w:r w:rsidRPr="00A50554">
        <w:rPr>
          <w:rFonts w:ascii="Times New Roman" w:hAnsi="Times New Roman" w:cs="Times New Roman"/>
        </w:rPr>
        <w:t>a fundamental shift in perspective brought about by adopting a different religious tradition. This is why conversion is often perceived as a betrayal of the community in which one was originally raised, as it entails a departure from the shared beliefs and practices that define that community.</w:t>
      </w:r>
    </w:p>
    <w:p w14:paraId="0E96FE28" w14:textId="77777777" w:rsidR="00DE5A33" w:rsidRPr="00DE5A33" w:rsidRDefault="00DE5A33" w:rsidP="00DE5A33">
      <w:pPr>
        <w:spacing w:line="360" w:lineRule="auto"/>
        <w:jc w:val="both"/>
        <w:rPr>
          <w:rFonts w:ascii="Times New Roman" w:hAnsi="Times New Roman" w:cs="Times New Roman"/>
        </w:rPr>
      </w:pPr>
      <w:r w:rsidRPr="00DE5A33">
        <w:rPr>
          <w:rFonts w:ascii="Times New Roman" w:hAnsi="Times New Roman" w:cs="Times New Roman"/>
        </w:rPr>
        <w:t xml:space="preserve">Conversely, if, like hinges, the source of normative authority in religious matters is inherited from a community united by a shared religious perspective, then in the absence of decisive epistemic </w:t>
      </w:r>
      <w:r w:rsidRPr="00DE5A33">
        <w:rPr>
          <w:rFonts w:ascii="Times New Roman" w:hAnsi="Times New Roman" w:cs="Times New Roman"/>
        </w:rPr>
        <w:lastRenderedPageBreak/>
        <w:t>reasons for or against it, we are justified in adhering to it. In such cases, our loyalty to the community may serve as a compelling pragmatic reason to uphold our inherited religious creed.</w:t>
      </w:r>
    </w:p>
    <w:p w14:paraId="09086EEF" w14:textId="20C95DFD" w:rsidR="00D135B0" w:rsidRPr="00D135B0" w:rsidRDefault="00023F6B" w:rsidP="00D135B0">
      <w:pPr>
        <w:spacing w:after="120" w:line="360" w:lineRule="auto"/>
        <w:jc w:val="both"/>
        <w:rPr>
          <w:rFonts w:ascii="Times New Roman" w:hAnsi="Times New Roman" w:cs="Times New Roman"/>
        </w:rPr>
      </w:pPr>
      <w:r>
        <w:rPr>
          <w:rFonts w:ascii="Times New Roman" w:hAnsi="Times New Roman" w:cs="Times New Roman"/>
        </w:rPr>
        <w:t>Of course, s</w:t>
      </w:r>
      <w:r w:rsidR="00D135B0" w:rsidRPr="00D135B0">
        <w:rPr>
          <w:rFonts w:ascii="Times New Roman" w:hAnsi="Times New Roman" w:cs="Times New Roman"/>
        </w:rPr>
        <w:t>everal rational considerations can influence religious conversion. These may include adopting a metaphysical framework more aligned with naturalism, which avoids the need to conceptualize Jesus</w:t>
      </w:r>
      <w:r>
        <w:rPr>
          <w:rFonts w:ascii="Times New Roman" w:hAnsi="Times New Roman" w:cs="Times New Roman"/>
        </w:rPr>
        <w:t xml:space="preserve"> Christ</w:t>
      </w:r>
      <w:r w:rsidR="00D135B0" w:rsidRPr="00D135B0">
        <w:rPr>
          <w:rFonts w:ascii="Times New Roman" w:hAnsi="Times New Roman" w:cs="Times New Roman"/>
        </w:rPr>
        <w:t xml:space="preserve"> as both human and divine. Other considerations might involve the nature of religious practices or moral principles associated with the new faith, which may</w:t>
      </w:r>
      <w:r w:rsidR="004B25BB">
        <w:rPr>
          <w:rFonts w:ascii="Times New Roman" w:hAnsi="Times New Roman" w:cs="Times New Roman"/>
        </w:rPr>
        <w:t xml:space="preserve"> – </w:t>
      </w:r>
      <w:r w:rsidR="00D135B0" w:rsidRPr="00D135B0">
        <w:rPr>
          <w:rFonts w:ascii="Times New Roman" w:hAnsi="Times New Roman" w:cs="Times New Roman"/>
        </w:rPr>
        <w:t>or may not</w:t>
      </w:r>
      <w:r w:rsidR="004B25BB">
        <w:rPr>
          <w:rFonts w:ascii="Times New Roman" w:hAnsi="Times New Roman" w:cs="Times New Roman"/>
        </w:rPr>
        <w:t xml:space="preserve"> – </w:t>
      </w:r>
      <w:r w:rsidR="00D135B0" w:rsidRPr="00D135B0">
        <w:rPr>
          <w:rFonts w:ascii="Times New Roman" w:hAnsi="Times New Roman" w:cs="Times New Roman"/>
        </w:rPr>
        <w:t xml:space="preserve">better align with one’s broader empirical (including scientific) and moral beliefs. However, rational considerations </w:t>
      </w:r>
      <w:r w:rsidR="004B25BB">
        <w:rPr>
          <w:rFonts w:ascii="Times New Roman" w:hAnsi="Times New Roman" w:cs="Times New Roman"/>
        </w:rPr>
        <w:t>aren’t</w:t>
      </w:r>
      <w:r w:rsidR="00D135B0" w:rsidRPr="00D135B0">
        <w:rPr>
          <w:rFonts w:ascii="Times New Roman" w:hAnsi="Times New Roman" w:cs="Times New Roman"/>
        </w:rPr>
        <w:t xml:space="preserve"> always decisive. Conversion can also stem from being profoundly moved by the perspective offered by a different religious tradition or by a sense of belonging to a community unified by an alternative religious creed.</w:t>
      </w:r>
    </w:p>
    <w:p w14:paraId="3C122582" w14:textId="3A7B4B71" w:rsidR="009F1BD3" w:rsidRDefault="00EF5988" w:rsidP="00547AE2">
      <w:pPr>
        <w:spacing w:after="120" w:line="360" w:lineRule="auto"/>
        <w:jc w:val="both"/>
        <w:rPr>
          <w:rFonts w:ascii="Times New Roman" w:hAnsi="Times New Roman" w:cs="Times New Roman"/>
        </w:rPr>
      </w:pPr>
      <w:r>
        <w:rPr>
          <w:rFonts w:ascii="Times New Roman" w:hAnsi="Times New Roman" w:cs="Times New Roman"/>
        </w:rPr>
        <w:t>Still</w:t>
      </w:r>
      <w:r w:rsidR="001E48D1">
        <w:rPr>
          <w:rFonts w:ascii="Times New Roman" w:hAnsi="Times New Roman" w:cs="Times New Roman"/>
        </w:rPr>
        <w:t xml:space="preserve">, there may be much in common between the two normative </w:t>
      </w:r>
      <w:r w:rsidR="00D26FE6">
        <w:rPr>
          <w:rFonts w:ascii="Times New Roman" w:hAnsi="Times New Roman" w:cs="Times New Roman"/>
        </w:rPr>
        <w:t>sources,</w:t>
      </w:r>
      <w:r w:rsidR="001E48D1">
        <w:rPr>
          <w:rFonts w:ascii="Times New Roman" w:hAnsi="Times New Roman" w:cs="Times New Roman"/>
        </w:rPr>
        <w:t xml:space="preserve"> and this would make it possible to </w:t>
      </w:r>
      <w:r w:rsidR="00366A3A">
        <w:rPr>
          <w:rFonts w:ascii="Times New Roman" w:hAnsi="Times New Roman" w:cs="Times New Roman"/>
        </w:rPr>
        <w:t>reach</w:t>
      </w:r>
      <w:r w:rsidR="00D26FE6" w:rsidRPr="00D26FE6">
        <w:rPr>
          <w:rFonts w:ascii="Times New Roman" w:hAnsi="Times New Roman" w:cs="Times New Roman"/>
        </w:rPr>
        <w:t xml:space="preserve"> </w:t>
      </w:r>
      <w:r w:rsidR="00D26FE6">
        <w:rPr>
          <w:rFonts w:ascii="Times New Roman" w:hAnsi="Times New Roman" w:cs="Times New Roman"/>
        </w:rPr>
        <w:t>mutual agreement</w:t>
      </w:r>
      <w:r w:rsidR="00366A3A">
        <w:rPr>
          <w:rFonts w:ascii="Times New Roman" w:hAnsi="Times New Roman" w:cs="Times New Roman"/>
        </w:rPr>
        <w:t xml:space="preserve"> on at least some </w:t>
      </w:r>
      <w:r w:rsidR="00D26FE6">
        <w:rPr>
          <w:rFonts w:ascii="Times New Roman" w:hAnsi="Times New Roman" w:cs="Times New Roman"/>
        </w:rPr>
        <w:t xml:space="preserve">religious </w:t>
      </w:r>
      <w:r w:rsidR="00366A3A">
        <w:rPr>
          <w:rFonts w:ascii="Times New Roman" w:hAnsi="Times New Roman" w:cs="Times New Roman"/>
        </w:rPr>
        <w:t>matters</w:t>
      </w:r>
      <w:r w:rsidR="00D26FE6">
        <w:rPr>
          <w:rFonts w:ascii="Times New Roman" w:hAnsi="Times New Roman" w:cs="Times New Roman"/>
        </w:rPr>
        <w:t>, such as th</w:t>
      </w:r>
      <w:r w:rsidR="00861CCE">
        <w:rPr>
          <w:rFonts w:ascii="Times New Roman" w:hAnsi="Times New Roman" w:cs="Times New Roman"/>
        </w:rPr>
        <w:t>at God is omnipotent and omniscient, say</w:t>
      </w:r>
      <w:r w:rsidR="00474FC9">
        <w:rPr>
          <w:rFonts w:ascii="Times New Roman" w:hAnsi="Times New Roman" w:cs="Times New Roman"/>
        </w:rPr>
        <w:t xml:space="preserve">, or that there will be an afterlife, </w:t>
      </w:r>
      <w:r w:rsidR="006935B9">
        <w:rPr>
          <w:rFonts w:ascii="Times New Roman" w:hAnsi="Times New Roman" w:cs="Times New Roman"/>
        </w:rPr>
        <w:t xml:space="preserve">and something like a Last Judgement, with punishment for the </w:t>
      </w:r>
      <w:r w:rsidR="004B4DF6">
        <w:rPr>
          <w:rFonts w:ascii="Times New Roman" w:hAnsi="Times New Roman" w:cs="Times New Roman"/>
        </w:rPr>
        <w:t xml:space="preserve">sinful and reward for the just, </w:t>
      </w:r>
      <w:r w:rsidR="00474FC9">
        <w:rPr>
          <w:rFonts w:ascii="Times New Roman" w:hAnsi="Times New Roman" w:cs="Times New Roman"/>
        </w:rPr>
        <w:t>etc.</w:t>
      </w:r>
      <w:r w:rsidR="00366A3A">
        <w:rPr>
          <w:rFonts w:ascii="Times New Roman" w:hAnsi="Times New Roman" w:cs="Times New Roman"/>
        </w:rPr>
        <w:t xml:space="preserve"> </w:t>
      </w:r>
    </w:p>
    <w:p w14:paraId="51E0FE7F" w14:textId="2DAA8C39" w:rsidR="00B94165" w:rsidRPr="00B94165" w:rsidRDefault="003074C5" w:rsidP="00B94165">
      <w:pPr>
        <w:spacing w:line="360" w:lineRule="auto"/>
        <w:jc w:val="both"/>
        <w:rPr>
          <w:rFonts w:ascii="Times New Roman" w:hAnsi="Times New Roman" w:cs="Times New Roman"/>
        </w:rPr>
      </w:pPr>
      <w:r>
        <w:rPr>
          <w:rFonts w:ascii="Times New Roman" w:hAnsi="Times New Roman" w:cs="Times New Roman"/>
        </w:rPr>
        <w:t>Thus, w</w:t>
      </w:r>
      <w:r w:rsidR="00B94165" w:rsidRPr="00B94165">
        <w:rPr>
          <w:rFonts w:ascii="Times New Roman" w:hAnsi="Times New Roman" w:cs="Times New Roman"/>
        </w:rPr>
        <w:t xml:space="preserve">e must distinguish inter-religious disagreement from two other types of religious conflict: </w:t>
      </w:r>
      <w:proofErr w:type="spellStart"/>
      <w:r w:rsidR="00B94165" w:rsidRPr="00B94165">
        <w:rPr>
          <w:rFonts w:ascii="Times New Roman" w:hAnsi="Times New Roman" w:cs="Times New Roman"/>
        </w:rPr>
        <w:t>intratheoretic</w:t>
      </w:r>
      <w:proofErr w:type="spellEnd"/>
      <w:r w:rsidR="00B94165" w:rsidRPr="00B94165">
        <w:rPr>
          <w:rFonts w:ascii="Times New Roman" w:hAnsi="Times New Roman" w:cs="Times New Roman"/>
        </w:rPr>
        <w:t xml:space="preserve"> religious disagreement and deep religious disagreement. A</w:t>
      </w:r>
      <w:r w:rsidR="00A75729">
        <w:rPr>
          <w:rFonts w:ascii="Times New Roman" w:hAnsi="Times New Roman" w:cs="Times New Roman"/>
        </w:rPr>
        <w:t>s we saw, an</w:t>
      </w:r>
      <w:r w:rsidR="00B94165" w:rsidRPr="00B94165">
        <w:rPr>
          <w:rFonts w:ascii="Times New Roman" w:hAnsi="Times New Roman" w:cs="Times New Roman"/>
        </w:rPr>
        <w:t xml:space="preserve"> example of </w:t>
      </w:r>
      <w:proofErr w:type="spellStart"/>
      <w:r w:rsidR="00B94165" w:rsidRPr="00B94165">
        <w:rPr>
          <w:rFonts w:ascii="Times New Roman" w:hAnsi="Times New Roman" w:cs="Times New Roman"/>
        </w:rPr>
        <w:t>intratheoretic</w:t>
      </w:r>
      <w:proofErr w:type="spellEnd"/>
      <w:r w:rsidR="00B94165" w:rsidRPr="00B94165">
        <w:rPr>
          <w:rFonts w:ascii="Times New Roman" w:hAnsi="Times New Roman" w:cs="Times New Roman"/>
        </w:rPr>
        <w:t xml:space="preserve"> religious disagreement is the debate between </w:t>
      </w:r>
      <w:proofErr w:type="spellStart"/>
      <w:r w:rsidR="00B94165" w:rsidRPr="00B94165">
        <w:rPr>
          <w:rFonts w:ascii="Times New Roman" w:hAnsi="Times New Roman" w:cs="Times New Roman"/>
        </w:rPr>
        <w:t>Niceans</w:t>
      </w:r>
      <w:proofErr w:type="spellEnd"/>
      <w:r w:rsidR="00B94165" w:rsidRPr="00B94165">
        <w:rPr>
          <w:rFonts w:ascii="Times New Roman" w:hAnsi="Times New Roman" w:cs="Times New Roman"/>
        </w:rPr>
        <w:t xml:space="preserve"> and Arians regarding the nature of Jesus</w:t>
      </w:r>
      <w:r w:rsidR="00A75729">
        <w:rPr>
          <w:rFonts w:ascii="Times New Roman" w:hAnsi="Times New Roman" w:cs="Times New Roman"/>
        </w:rPr>
        <w:t xml:space="preserve"> Christ</w:t>
      </w:r>
      <w:r w:rsidR="00B94165" w:rsidRPr="00B94165">
        <w:rPr>
          <w:rFonts w:ascii="Times New Roman" w:hAnsi="Times New Roman" w:cs="Times New Roman"/>
        </w:rPr>
        <w:t xml:space="preserve">. In this case, the most fundamental </w:t>
      </w:r>
      <w:r>
        <w:rPr>
          <w:rFonts w:ascii="Times New Roman" w:hAnsi="Times New Roman" w:cs="Times New Roman"/>
        </w:rPr>
        <w:t>“</w:t>
      </w:r>
      <w:r w:rsidR="00B94165" w:rsidRPr="00B94165">
        <w:rPr>
          <w:rFonts w:ascii="Times New Roman" w:hAnsi="Times New Roman" w:cs="Times New Roman"/>
        </w:rPr>
        <w:t>hinge</w:t>
      </w:r>
      <w:r>
        <w:rPr>
          <w:rFonts w:ascii="Times New Roman" w:hAnsi="Times New Roman" w:cs="Times New Roman"/>
        </w:rPr>
        <w:t>”</w:t>
      </w:r>
      <w:r w:rsidR="00B94165" w:rsidRPr="00B94165">
        <w:rPr>
          <w:rFonts w:ascii="Times New Roman" w:hAnsi="Times New Roman" w:cs="Times New Roman"/>
        </w:rPr>
        <w:t xml:space="preserve"> and the source of normative authority</w:t>
      </w:r>
      <w:r w:rsidR="000C43A4">
        <w:rPr>
          <w:rFonts w:ascii="Times New Roman" w:hAnsi="Times New Roman" w:cs="Times New Roman"/>
        </w:rPr>
        <w:t xml:space="preserve"> – i.e.</w:t>
      </w:r>
      <w:r w:rsidR="00B94165" w:rsidRPr="00B94165">
        <w:rPr>
          <w:rFonts w:ascii="Times New Roman" w:hAnsi="Times New Roman" w:cs="Times New Roman"/>
        </w:rPr>
        <w:t>, the Bible</w:t>
      </w:r>
      <w:r w:rsidR="000C43A4">
        <w:rPr>
          <w:rFonts w:ascii="Times New Roman" w:hAnsi="Times New Roman" w:cs="Times New Roman"/>
        </w:rPr>
        <w:t xml:space="preserve"> – </w:t>
      </w:r>
      <w:r w:rsidR="00B94165" w:rsidRPr="00B94165">
        <w:rPr>
          <w:rFonts w:ascii="Times New Roman" w:hAnsi="Times New Roman" w:cs="Times New Roman"/>
        </w:rPr>
        <w:t>are common to both parties. Conversely, deep religious disagreement, such as that between believers and non-believers, arises because no shared foundational hinge exists. While agreement on moral issues (e.g., prioritizing peace among humanity as a common or supreme value) may be possible, no consensus can be reached on religious matters due to the absence of a common normative foundation.</w:t>
      </w:r>
    </w:p>
    <w:p w14:paraId="3F90390F" w14:textId="5A2243DC" w:rsidR="00B94165" w:rsidRDefault="00B94165" w:rsidP="00B94165">
      <w:pPr>
        <w:spacing w:line="360" w:lineRule="auto"/>
        <w:jc w:val="both"/>
        <w:rPr>
          <w:rFonts w:ascii="Times New Roman" w:hAnsi="Times New Roman" w:cs="Times New Roman"/>
        </w:rPr>
      </w:pPr>
      <w:r w:rsidRPr="00B94165">
        <w:rPr>
          <w:rFonts w:ascii="Times New Roman" w:hAnsi="Times New Roman" w:cs="Times New Roman"/>
        </w:rPr>
        <w:t xml:space="preserve">Inter-religious disagreement occupies an intermediate position. Like </w:t>
      </w:r>
      <w:proofErr w:type="spellStart"/>
      <w:r w:rsidRPr="00B94165">
        <w:rPr>
          <w:rFonts w:ascii="Times New Roman" w:hAnsi="Times New Roman" w:cs="Times New Roman"/>
        </w:rPr>
        <w:t>intratheoretic</w:t>
      </w:r>
      <w:proofErr w:type="spellEnd"/>
      <w:r w:rsidRPr="00B94165">
        <w:rPr>
          <w:rFonts w:ascii="Times New Roman" w:hAnsi="Times New Roman" w:cs="Times New Roman"/>
        </w:rPr>
        <w:t xml:space="preserve"> disagreement, it shares a fundamental hinge</w:t>
      </w:r>
      <w:r w:rsidR="002E6F6B">
        <w:rPr>
          <w:rFonts w:ascii="Times New Roman" w:hAnsi="Times New Roman" w:cs="Times New Roman"/>
        </w:rPr>
        <w:t xml:space="preserve"> – i.e., </w:t>
      </w:r>
      <w:r w:rsidRPr="00B94165">
        <w:rPr>
          <w:rFonts w:ascii="Times New Roman" w:hAnsi="Times New Roman" w:cs="Times New Roman"/>
        </w:rPr>
        <w:t xml:space="preserve">belief in the existence of God. However, it diverges on a less fundamental hinge, such as whether the Bible or the Qur’an constitutes the source of normative religious authority. As a result, when </w:t>
      </w:r>
      <w:r w:rsidR="00600932">
        <w:rPr>
          <w:rFonts w:ascii="Times New Roman" w:hAnsi="Times New Roman" w:cs="Times New Roman"/>
        </w:rPr>
        <w:t xml:space="preserve">religious </w:t>
      </w:r>
      <w:r w:rsidRPr="00B94165">
        <w:rPr>
          <w:rFonts w:ascii="Times New Roman" w:hAnsi="Times New Roman" w:cs="Times New Roman"/>
        </w:rPr>
        <w:t xml:space="preserve">conflicts arise within the scope of these normative authorities, they cannot be resolved by appealing to a </w:t>
      </w:r>
      <w:proofErr w:type="gramStart"/>
      <w:r w:rsidRPr="00B94165">
        <w:rPr>
          <w:rFonts w:ascii="Times New Roman" w:hAnsi="Times New Roman" w:cs="Times New Roman"/>
        </w:rPr>
        <w:t>deeper</w:t>
      </w:r>
      <w:proofErr w:type="gramEnd"/>
      <w:r w:rsidRPr="00B94165">
        <w:rPr>
          <w:rFonts w:ascii="Times New Roman" w:hAnsi="Times New Roman" w:cs="Times New Roman"/>
        </w:rPr>
        <w:t xml:space="preserve"> shared foundation or to a common source of religious authority.</w:t>
      </w:r>
    </w:p>
    <w:p w14:paraId="3BBB12B5" w14:textId="77777777" w:rsidR="001709E8" w:rsidRDefault="001709E8" w:rsidP="00B94165">
      <w:pPr>
        <w:spacing w:line="360" w:lineRule="auto"/>
        <w:jc w:val="both"/>
        <w:rPr>
          <w:rFonts w:ascii="Times New Roman" w:hAnsi="Times New Roman" w:cs="Times New Roman"/>
        </w:rPr>
      </w:pPr>
    </w:p>
    <w:p w14:paraId="69F9EE81" w14:textId="7DEEF3B6" w:rsidR="009F1BD3" w:rsidRPr="00E47B8D" w:rsidRDefault="00A40AA4" w:rsidP="00672B24">
      <w:pPr>
        <w:pStyle w:val="ListParagraph"/>
        <w:numPr>
          <w:ilvl w:val="0"/>
          <w:numId w:val="1"/>
        </w:numPr>
        <w:spacing w:line="360" w:lineRule="auto"/>
        <w:jc w:val="both"/>
        <w:rPr>
          <w:rFonts w:ascii="Times New Roman" w:hAnsi="Times New Roman" w:cs="Times New Roman"/>
          <w:b/>
          <w:bCs/>
        </w:rPr>
      </w:pPr>
      <w:r w:rsidRPr="00E47B8D">
        <w:rPr>
          <w:rFonts w:ascii="Times New Roman" w:hAnsi="Times New Roman" w:cs="Times New Roman"/>
          <w:b/>
          <w:bCs/>
        </w:rPr>
        <w:t>Faith, dogma, and belief</w:t>
      </w:r>
    </w:p>
    <w:p w14:paraId="58E900BA" w14:textId="7723FFD8" w:rsidR="00A40AA4" w:rsidRPr="00AE5990" w:rsidRDefault="00001ED0" w:rsidP="005D7579">
      <w:pPr>
        <w:spacing w:line="360" w:lineRule="auto"/>
        <w:jc w:val="both"/>
        <w:rPr>
          <w:rFonts w:ascii="Times New Roman" w:hAnsi="Times New Roman" w:cs="Times New Roman"/>
        </w:rPr>
      </w:pPr>
      <w:r w:rsidRPr="00AE5990">
        <w:rPr>
          <w:rFonts w:ascii="Times New Roman" w:hAnsi="Times New Roman" w:cs="Times New Roman"/>
        </w:rPr>
        <w:t xml:space="preserve">In closing, I would like to mention a few other aspects of Wittgenstein’s </w:t>
      </w:r>
      <w:r w:rsidR="00EE16E7">
        <w:rPr>
          <w:rFonts w:ascii="Times New Roman" w:hAnsi="Times New Roman" w:cs="Times New Roman"/>
        </w:rPr>
        <w:t>thought, in OC and other texts</w:t>
      </w:r>
      <w:r w:rsidRPr="00AE5990">
        <w:rPr>
          <w:rFonts w:ascii="Times New Roman" w:hAnsi="Times New Roman" w:cs="Times New Roman"/>
        </w:rPr>
        <w:t xml:space="preserve">, as developed within contemporary hinge epistemology (especially </w:t>
      </w:r>
      <w:r w:rsidRPr="00967863">
        <w:rPr>
          <w:rFonts w:ascii="Times New Roman" w:hAnsi="Times New Roman" w:cs="Times New Roman"/>
        </w:rPr>
        <w:t>Coliva</w:t>
      </w:r>
      <w:r w:rsidR="00962647" w:rsidRPr="00967863">
        <w:rPr>
          <w:rFonts w:ascii="Times New Roman" w:hAnsi="Times New Roman" w:cs="Times New Roman"/>
        </w:rPr>
        <w:t xml:space="preserve"> 2015, 2022, 2025</w:t>
      </w:r>
      <w:r w:rsidR="00967863" w:rsidRPr="00967863">
        <w:rPr>
          <w:rFonts w:ascii="Times New Roman" w:hAnsi="Times New Roman" w:cs="Times New Roman"/>
        </w:rPr>
        <w:t>d</w:t>
      </w:r>
      <w:r w:rsidR="00962647" w:rsidRPr="00967863">
        <w:rPr>
          <w:rFonts w:ascii="Times New Roman" w:hAnsi="Times New Roman" w:cs="Times New Roman"/>
        </w:rPr>
        <w:t xml:space="preserve">), which are quite apt to model </w:t>
      </w:r>
      <w:r w:rsidR="005D263E" w:rsidRPr="00967863">
        <w:rPr>
          <w:rFonts w:ascii="Times New Roman" w:hAnsi="Times New Roman" w:cs="Times New Roman"/>
        </w:rPr>
        <w:t>faith, dogma and belief.</w:t>
      </w:r>
    </w:p>
    <w:p w14:paraId="7C0EB7AC" w14:textId="09F90F2B" w:rsidR="005D263E" w:rsidRPr="00AE5990" w:rsidRDefault="0078278B" w:rsidP="00A40AA4">
      <w:pPr>
        <w:spacing w:line="360" w:lineRule="auto"/>
        <w:jc w:val="both"/>
        <w:rPr>
          <w:rFonts w:ascii="Times New Roman" w:hAnsi="Times New Roman" w:cs="Times New Roman"/>
        </w:rPr>
      </w:pPr>
      <w:r w:rsidRPr="00AE5990">
        <w:rPr>
          <w:rFonts w:ascii="Times New Roman" w:hAnsi="Times New Roman" w:cs="Times New Roman"/>
        </w:rPr>
        <w:t>As is well-known, religious discourse, especially</w:t>
      </w:r>
      <w:r w:rsidR="007B1F69" w:rsidRPr="00AE5990">
        <w:rPr>
          <w:rFonts w:ascii="Times New Roman" w:hAnsi="Times New Roman" w:cs="Times New Roman"/>
        </w:rPr>
        <w:t xml:space="preserve"> within Christianity, is highly </w:t>
      </w:r>
      <w:r w:rsidR="00990525">
        <w:rPr>
          <w:rFonts w:ascii="Times New Roman" w:hAnsi="Times New Roman" w:cs="Times New Roman"/>
        </w:rPr>
        <w:t xml:space="preserve">structured and </w:t>
      </w:r>
      <w:r w:rsidR="007B1F69" w:rsidRPr="00AE5990">
        <w:rPr>
          <w:rFonts w:ascii="Times New Roman" w:hAnsi="Times New Roman" w:cs="Times New Roman"/>
        </w:rPr>
        <w:t>regimented</w:t>
      </w:r>
      <w:r w:rsidR="006034C8" w:rsidRPr="00AE5990">
        <w:rPr>
          <w:rFonts w:ascii="Times New Roman" w:hAnsi="Times New Roman" w:cs="Times New Roman"/>
        </w:rPr>
        <w:t>, with a series of dogmas</w:t>
      </w:r>
      <w:r w:rsidR="008625B9" w:rsidRPr="00AE5990">
        <w:rPr>
          <w:rFonts w:ascii="Times New Roman" w:hAnsi="Times New Roman" w:cs="Times New Roman"/>
        </w:rPr>
        <w:t xml:space="preserve"> – that is, propositions which are </w:t>
      </w:r>
      <w:r w:rsidR="00552844" w:rsidRPr="00AE5990">
        <w:rPr>
          <w:rFonts w:ascii="Times New Roman" w:hAnsi="Times New Roman" w:cs="Times New Roman"/>
        </w:rPr>
        <w:t xml:space="preserve">put beyond the very possibility of doubt, on pain of </w:t>
      </w:r>
      <w:r w:rsidR="00565ABC" w:rsidRPr="00AE5990">
        <w:rPr>
          <w:rFonts w:ascii="Times New Roman" w:hAnsi="Times New Roman" w:cs="Times New Roman"/>
        </w:rPr>
        <w:t>being excommunicated</w:t>
      </w:r>
      <w:r w:rsidR="00AE5990" w:rsidRPr="00AE5990">
        <w:rPr>
          <w:rFonts w:ascii="Times New Roman" w:hAnsi="Times New Roman" w:cs="Times New Roman"/>
        </w:rPr>
        <w:t xml:space="preserve">. Here is what Wittgenstein </w:t>
      </w:r>
      <w:r w:rsidR="00B868D3">
        <w:rPr>
          <w:rFonts w:ascii="Times New Roman" w:hAnsi="Times New Roman" w:cs="Times New Roman"/>
        </w:rPr>
        <w:t xml:space="preserve">(1980: 28) </w:t>
      </w:r>
      <w:r w:rsidR="00AE5990" w:rsidRPr="00AE5990">
        <w:rPr>
          <w:rFonts w:ascii="Times New Roman" w:hAnsi="Times New Roman" w:cs="Times New Roman"/>
        </w:rPr>
        <w:t>has to say about Catholic dogma:</w:t>
      </w:r>
    </w:p>
    <w:p w14:paraId="79A78873" w14:textId="20C63F0B" w:rsidR="0000779B" w:rsidRPr="0000779B" w:rsidRDefault="00D96D93" w:rsidP="0000779B">
      <w:pPr>
        <w:spacing w:line="360" w:lineRule="auto"/>
        <w:ind w:left="720"/>
        <w:jc w:val="both"/>
        <w:rPr>
          <w:rFonts w:ascii="Times New Roman" w:hAnsi="Times New Roman" w:cs="Times New Roman"/>
        </w:rPr>
      </w:pPr>
      <w:r w:rsidRPr="0000779B">
        <w:rPr>
          <w:rFonts w:ascii="Times New Roman" w:hAnsi="Times New Roman" w:cs="Times New Roman"/>
        </w:rPr>
        <w:t>[Catholic] dogma is expressed in the form of an assertion, and is unshakable, but at the same time any</w:t>
      </w:r>
      <w:r w:rsidRPr="0000779B">
        <w:rPr>
          <w:rFonts w:ascii="Times New Roman" w:hAnsi="Times New Roman" w:cs="Times New Roman"/>
          <w:spacing w:val="1"/>
        </w:rPr>
        <w:t xml:space="preserve"> </w:t>
      </w:r>
      <w:r w:rsidRPr="0000779B">
        <w:rPr>
          <w:rFonts w:ascii="Times New Roman" w:hAnsi="Times New Roman" w:cs="Times New Roman"/>
        </w:rPr>
        <w:t>practical</w:t>
      </w:r>
      <w:r w:rsidRPr="0000779B">
        <w:rPr>
          <w:rFonts w:ascii="Times New Roman" w:hAnsi="Times New Roman" w:cs="Times New Roman"/>
          <w:spacing w:val="7"/>
        </w:rPr>
        <w:t xml:space="preserve"> </w:t>
      </w:r>
      <w:r w:rsidRPr="0000779B">
        <w:rPr>
          <w:rFonts w:ascii="Times New Roman" w:hAnsi="Times New Roman" w:cs="Times New Roman"/>
        </w:rPr>
        <w:t>opinion</w:t>
      </w:r>
      <w:r w:rsidRPr="0000779B">
        <w:rPr>
          <w:rFonts w:ascii="Times New Roman" w:hAnsi="Times New Roman" w:cs="Times New Roman"/>
          <w:spacing w:val="9"/>
        </w:rPr>
        <w:t xml:space="preserve"> </w:t>
      </w:r>
      <w:r w:rsidRPr="0000779B">
        <w:rPr>
          <w:rFonts w:ascii="Times New Roman" w:hAnsi="Times New Roman" w:cs="Times New Roman"/>
          <w:i/>
        </w:rPr>
        <w:t>can</w:t>
      </w:r>
      <w:r w:rsidRPr="0000779B">
        <w:rPr>
          <w:rFonts w:ascii="Times New Roman" w:hAnsi="Times New Roman" w:cs="Times New Roman"/>
          <w:i/>
          <w:spacing w:val="6"/>
        </w:rPr>
        <w:t xml:space="preserve"> </w:t>
      </w:r>
      <w:r w:rsidRPr="0000779B">
        <w:rPr>
          <w:rFonts w:ascii="Times New Roman" w:hAnsi="Times New Roman" w:cs="Times New Roman"/>
        </w:rPr>
        <w:t>be</w:t>
      </w:r>
      <w:r w:rsidRPr="0000779B">
        <w:rPr>
          <w:rFonts w:ascii="Times New Roman" w:hAnsi="Times New Roman" w:cs="Times New Roman"/>
          <w:spacing w:val="6"/>
        </w:rPr>
        <w:t xml:space="preserve"> </w:t>
      </w:r>
      <w:r w:rsidRPr="0000779B">
        <w:rPr>
          <w:rFonts w:ascii="Times New Roman" w:hAnsi="Times New Roman" w:cs="Times New Roman"/>
        </w:rPr>
        <w:t>made</w:t>
      </w:r>
      <w:r w:rsidRPr="0000779B">
        <w:rPr>
          <w:rFonts w:ascii="Times New Roman" w:hAnsi="Times New Roman" w:cs="Times New Roman"/>
          <w:spacing w:val="8"/>
        </w:rPr>
        <w:t xml:space="preserve"> </w:t>
      </w:r>
      <w:r w:rsidRPr="0000779B">
        <w:rPr>
          <w:rFonts w:ascii="Times New Roman" w:hAnsi="Times New Roman" w:cs="Times New Roman"/>
        </w:rPr>
        <w:t>to</w:t>
      </w:r>
      <w:r w:rsidRPr="0000779B">
        <w:rPr>
          <w:rFonts w:ascii="Times New Roman" w:hAnsi="Times New Roman" w:cs="Times New Roman"/>
          <w:spacing w:val="6"/>
        </w:rPr>
        <w:t xml:space="preserve"> </w:t>
      </w:r>
      <w:r w:rsidRPr="0000779B">
        <w:rPr>
          <w:rFonts w:ascii="Times New Roman" w:hAnsi="Times New Roman" w:cs="Times New Roman"/>
        </w:rPr>
        <w:t>harmonize</w:t>
      </w:r>
      <w:r w:rsidRPr="0000779B">
        <w:rPr>
          <w:rFonts w:ascii="Times New Roman" w:hAnsi="Times New Roman" w:cs="Times New Roman"/>
          <w:spacing w:val="9"/>
        </w:rPr>
        <w:t xml:space="preserve"> </w:t>
      </w:r>
      <w:r w:rsidRPr="0000779B">
        <w:rPr>
          <w:rFonts w:ascii="Times New Roman" w:hAnsi="Times New Roman" w:cs="Times New Roman"/>
        </w:rPr>
        <w:t>with</w:t>
      </w:r>
      <w:r w:rsidRPr="0000779B">
        <w:rPr>
          <w:rFonts w:ascii="Times New Roman" w:hAnsi="Times New Roman" w:cs="Times New Roman"/>
          <w:spacing w:val="7"/>
        </w:rPr>
        <w:t xml:space="preserve"> </w:t>
      </w:r>
      <w:proofErr w:type="gramStart"/>
      <w:r w:rsidRPr="0000779B">
        <w:rPr>
          <w:rFonts w:ascii="Times New Roman" w:hAnsi="Times New Roman" w:cs="Times New Roman"/>
        </w:rPr>
        <w:t>it;</w:t>
      </w:r>
      <w:proofErr w:type="gramEnd"/>
      <w:r w:rsidRPr="0000779B">
        <w:rPr>
          <w:rFonts w:ascii="Times New Roman" w:hAnsi="Times New Roman" w:cs="Times New Roman"/>
          <w:spacing w:val="6"/>
        </w:rPr>
        <w:t xml:space="preserve"> </w:t>
      </w:r>
      <w:r w:rsidRPr="0000779B">
        <w:rPr>
          <w:rFonts w:ascii="Times New Roman" w:hAnsi="Times New Roman" w:cs="Times New Roman"/>
        </w:rPr>
        <w:t>admittedly</w:t>
      </w:r>
      <w:r w:rsidRPr="0000779B">
        <w:rPr>
          <w:rFonts w:ascii="Times New Roman" w:hAnsi="Times New Roman" w:cs="Times New Roman"/>
          <w:spacing w:val="4"/>
        </w:rPr>
        <w:t xml:space="preserve"> </w:t>
      </w:r>
      <w:r w:rsidRPr="0000779B">
        <w:rPr>
          <w:rFonts w:ascii="Times New Roman" w:hAnsi="Times New Roman" w:cs="Times New Roman"/>
        </w:rPr>
        <w:t>more</w:t>
      </w:r>
      <w:r w:rsidRPr="0000779B">
        <w:rPr>
          <w:rFonts w:ascii="Times New Roman" w:hAnsi="Times New Roman" w:cs="Times New Roman"/>
          <w:spacing w:val="6"/>
        </w:rPr>
        <w:t xml:space="preserve"> </w:t>
      </w:r>
      <w:r w:rsidRPr="0000779B">
        <w:rPr>
          <w:rFonts w:ascii="Times New Roman" w:hAnsi="Times New Roman" w:cs="Times New Roman"/>
        </w:rPr>
        <w:t>easily</w:t>
      </w:r>
      <w:r w:rsidRPr="0000779B">
        <w:rPr>
          <w:rFonts w:ascii="Times New Roman" w:hAnsi="Times New Roman" w:cs="Times New Roman"/>
          <w:spacing w:val="5"/>
        </w:rPr>
        <w:t xml:space="preserve"> </w:t>
      </w:r>
      <w:r w:rsidRPr="0000779B">
        <w:rPr>
          <w:rFonts w:ascii="Times New Roman" w:hAnsi="Times New Roman" w:cs="Times New Roman"/>
        </w:rPr>
        <w:t>in</w:t>
      </w:r>
      <w:r w:rsidRPr="0000779B">
        <w:rPr>
          <w:rFonts w:ascii="Times New Roman" w:hAnsi="Times New Roman" w:cs="Times New Roman"/>
          <w:spacing w:val="7"/>
        </w:rPr>
        <w:t xml:space="preserve"> </w:t>
      </w:r>
      <w:r w:rsidRPr="0000779B">
        <w:rPr>
          <w:rFonts w:ascii="Times New Roman" w:hAnsi="Times New Roman" w:cs="Times New Roman"/>
        </w:rPr>
        <w:t>some</w:t>
      </w:r>
      <w:r w:rsidRPr="0000779B">
        <w:rPr>
          <w:rFonts w:ascii="Times New Roman" w:hAnsi="Times New Roman" w:cs="Times New Roman"/>
          <w:spacing w:val="8"/>
        </w:rPr>
        <w:t xml:space="preserve"> </w:t>
      </w:r>
      <w:r w:rsidRPr="0000779B">
        <w:rPr>
          <w:rFonts w:ascii="Times New Roman" w:hAnsi="Times New Roman" w:cs="Times New Roman"/>
        </w:rPr>
        <w:t>cases</w:t>
      </w:r>
      <w:r w:rsidRPr="0000779B">
        <w:rPr>
          <w:rFonts w:ascii="Times New Roman" w:hAnsi="Times New Roman" w:cs="Times New Roman"/>
          <w:spacing w:val="6"/>
        </w:rPr>
        <w:t xml:space="preserve"> </w:t>
      </w:r>
      <w:r w:rsidRPr="0000779B">
        <w:rPr>
          <w:rFonts w:ascii="Times New Roman" w:hAnsi="Times New Roman" w:cs="Times New Roman"/>
        </w:rPr>
        <w:t>than</w:t>
      </w:r>
      <w:r w:rsidRPr="0000779B">
        <w:rPr>
          <w:rFonts w:ascii="Times New Roman" w:hAnsi="Times New Roman" w:cs="Times New Roman"/>
          <w:spacing w:val="7"/>
        </w:rPr>
        <w:t xml:space="preserve"> </w:t>
      </w:r>
      <w:r w:rsidRPr="0000779B">
        <w:rPr>
          <w:rFonts w:ascii="Times New Roman" w:hAnsi="Times New Roman" w:cs="Times New Roman"/>
        </w:rPr>
        <w:t>in</w:t>
      </w:r>
      <w:r w:rsidRPr="0000779B">
        <w:rPr>
          <w:rFonts w:ascii="Times New Roman" w:hAnsi="Times New Roman" w:cs="Times New Roman"/>
          <w:spacing w:val="6"/>
        </w:rPr>
        <w:t xml:space="preserve"> </w:t>
      </w:r>
      <w:r w:rsidRPr="0000779B">
        <w:rPr>
          <w:rFonts w:ascii="Times New Roman" w:hAnsi="Times New Roman" w:cs="Times New Roman"/>
        </w:rPr>
        <w:t>others.</w:t>
      </w:r>
      <w:r w:rsidRPr="0000779B">
        <w:rPr>
          <w:rFonts w:ascii="Times New Roman" w:hAnsi="Times New Roman" w:cs="Times New Roman"/>
          <w:spacing w:val="-53"/>
        </w:rPr>
        <w:t xml:space="preserve"> </w:t>
      </w:r>
      <w:r w:rsidRPr="0000779B">
        <w:rPr>
          <w:rFonts w:ascii="Times New Roman" w:hAnsi="Times New Roman" w:cs="Times New Roman"/>
        </w:rPr>
        <w:t xml:space="preserve">It is not a </w:t>
      </w:r>
      <w:r w:rsidRPr="0000779B">
        <w:rPr>
          <w:rFonts w:ascii="Times New Roman" w:hAnsi="Times New Roman" w:cs="Times New Roman"/>
          <w:i/>
        </w:rPr>
        <w:t xml:space="preserve">wall </w:t>
      </w:r>
      <w:r w:rsidRPr="0000779B">
        <w:rPr>
          <w:rFonts w:ascii="Times New Roman" w:hAnsi="Times New Roman" w:cs="Times New Roman"/>
        </w:rPr>
        <w:t xml:space="preserve">setting limits to what can be believed, but more like a </w:t>
      </w:r>
      <w:r w:rsidRPr="0000779B">
        <w:rPr>
          <w:rFonts w:ascii="Times New Roman" w:hAnsi="Times New Roman" w:cs="Times New Roman"/>
          <w:i/>
        </w:rPr>
        <w:t xml:space="preserve">brake </w:t>
      </w:r>
      <w:r w:rsidRPr="0000779B">
        <w:rPr>
          <w:rFonts w:ascii="Times New Roman" w:hAnsi="Times New Roman" w:cs="Times New Roman"/>
        </w:rPr>
        <w:t>which, however, practically</w:t>
      </w:r>
      <w:r w:rsidRPr="0000779B">
        <w:rPr>
          <w:rFonts w:ascii="Times New Roman" w:hAnsi="Times New Roman" w:cs="Times New Roman"/>
          <w:spacing w:val="1"/>
        </w:rPr>
        <w:t xml:space="preserve"> </w:t>
      </w:r>
      <w:r w:rsidRPr="0000779B">
        <w:rPr>
          <w:rFonts w:ascii="Times New Roman" w:hAnsi="Times New Roman" w:cs="Times New Roman"/>
        </w:rPr>
        <w:t>serves the same purpose; it’s almost as though someone were to attach a weight to your foot to restrict</w:t>
      </w:r>
      <w:r w:rsidRPr="0000779B">
        <w:rPr>
          <w:rFonts w:ascii="Times New Roman" w:hAnsi="Times New Roman" w:cs="Times New Roman"/>
          <w:spacing w:val="1"/>
        </w:rPr>
        <w:t xml:space="preserve"> </w:t>
      </w:r>
      <w:r w:rsidRPr="0000779B">
        <w:rPr>
          <w:rFonts w:ascii="Times New Roman" w:hAnsi="Times New Roman" w:cs="Times New Roman"/>
        </w:rPr>
        <w:t>your freedom of movement. This is how dogma becomes irrefutable and beyond the reach of attack.</w:t>
      </w:r>
    </w:p>
    <w:p w14:paraId="73AAE723" w14:textId="393A5B53" w:rsidR="0000779B" w:rsidRDefault="00544EFE" w:rsidP="0000779B">
      <w:pPr>
        <w:spacing w:line="360" w:lineRule="auto"/>
        <w:jc w:val="both"/>
        <w:rPr>
          <w:rFonts w:ascii="Times New Roman" w:hAnsi="Times New Roman" w:cs="Times New Roman"/>
        </w:rPr>
      </w:pPr>
      <w:r w:rsidRPr="0000779B">
        <w:rPr>
          <w:rFonts w:ascii="Times New Roman" w:hAnsi="Times New Roman" w:cs="Times New Roman"/>
        </w:rPr>
        <w:t xml:space="preserve">According to Wittgenstein, then, </w:t>
      </w:r>
      <w:r w:rsidR="00C02953" w:rsidRPr="0000779B">
        <w:rPr>
          <w:rFonts w:ascii="Times New Roman" w:hAnsi="Times New Roman" w:cs="Times New Roman"/>
        </w:rPr>
        <w:t xml:space="preserve">Catholic dogmas </w:t>
      </w:r>
      <w:r w:rsidR="004B7C21" w:rsidRPr="0000779B">
        <w:rPr>
          <w:rFonts w:ascii="Times New Roman" w:hAnsi="Times New Roman" w:cs="Times New Roman"/>
        </w:rPr>
        <w:t xml:space="preserve">function like hinges, in that </w:t>
      </w:r>
      <w:r w:rsidR="00BF5A47" w:rsidRPr="0000779B">
        <w:rPr>
          <w:rFonts w:ascii="Times New Roman" w:hAnsi="Times New Roman" w:cs="Times New Roman"/>
        </w:rPr>
        <w:t xml:space="preserve">they are considered beyond </w:t>
      </w:r>
      <w:r w:rsidR="0062655B" w:rsidRPr="0000779B">
        <w:rPr>
          <w:rFonts w:ascii="Times New Roman" w:hAnsi="Times New Roman" w:cs="Times New Roman"/>
        </w:rPr>
        <w:t>doubt,</w:t>
      </w:r>
      <w:r w:rsidR="00BF5A47" w:rsidRPr="0000779B">
        <w:rPr>
          <w:rFonts w:ascii="Times New Roman" w:hAnsi="Times New Roman" w:cs="Times New Roman"/>
        </w:rPr>
        <w:t xml:space="preserve"> and any putatively contrary evidence is made to harmonize with them by means of various containment strategies</w:t>
      </w:r>
      <w:r w:rsidR="0077397B" w:rsidRPr="0000779B">
        <w:rPr>
          <w:rFonts w:ascii="Times New Roman" w:hAnsi="Times New Roman" w:cs="Times New Roman"/>
        </w:rPr>
        <w:t xml:space="preserve"> – e.g. by separating the religious sphere from the mundane one and placing the former beyond the reach of attack </w:t>
      </w:r>
      <w:r w:rsidR="0000779B" w:rsidRPr="0000779B">
        <w:rPr>
          <w:rFonts w:ascii="Times New Roman" w:hAnsi="Times New Roman" w:cs="Times New Roman"/>
        </w:rPr>
        <w:t xml:space="preserve">from considerations pertaining to the latter. </w:t>
      </w:r>
    </w:p>
    <w:p w14:paraId="642A1329" w14:textId="7B01A431" w:rsidR="0092565F" w:rsidRDefault="00E712B6" w:rsidP="0000779B">
      <w:pPr>
        <w:spacing w:line="360" w:lineRule="auto"/>
        <w:jc w:val="both"/>
        <w:rPr>
          <w:rFonts w:ascii="Times New Roman" w:hAnsi="Times New Roman" w:cs="Times New Roman"/>
        </w:rPr>
      </w:pPr>
      <w:r>
        <w:rPr>
          <w:rFonts w:ascii="Times New Roman" w:hAnsi="Times New Roman" w:cs="Times New Roman"/>
        </w:rPr>
        <w:t xml:space="preserve">Another aspect of the belief-hinge dynamic, which is useful to understand the passage from religious belief to religious dogma, as well as several disputes within </w:t>
      </w:r>
      <w:r w:rsidR="00595A85">
        <w:rPr>
          <w:rFonts w:ascii="Times New Roman" w:hAnsi="Times New Roman" w:cs="Times New Roman"/>
        </w:rPr>
        <w:t>a given religion, is the fact that, according to Wittgenstein</w:t>
      </w:r>
      <w:r w:rsidR="00AE1A2E">
        <w:rPr>
          <w:rFonts w:ascii="Times New Roman" w:hAnsi="Times New Roman" w:cs="Times New Roman"/>
        </w:rPr>
        <w:t>, as we saw in (</w:t>
      </w:r>
      <w:r w:rsidR="0071459B">
        <w:rPr>
          <w:rFonts w:ascii="Times New Roman" w:hAnsi="Times New Roman" w:cs="Times New Roman"/>
        </w:rPr>
        <w:t>§2.3</w:t>
      </w:r>
      <w:r w:rsidR="00AE1A2E">
        <w:rPr>
          <w:rFonts w:ascii="Times New Roman" w:hAnsi="Times New Roman" w:cs="Times New Roman"/>
        </w:rPr>
        <w:t>)</w:t>
      </w:r>
      <w:r w:rsidR="00595A85">
        <w:rPr>
          <w:rFonts w:ascii="Times New Roman" w:hAnsi="Times New Roman" w:cs="Times New Roman"/>
        </w:rPr>
        <w:t xml:space="preserve">, several hinges start out as ordinary empirical beliefs and only </w:t>
      </w:r>
      <w:r w:rsidR="004A55CC">
        <w:rPr>
          <w:rFonts w:ascii="Times New Roman" w:hAnsi="Times New Roman" w:cs="Times New Roman"/>
        </w:rPr>
        <w:t xml:space="preserve">in time become hinges. </w:t>
      </w:r>
      <w:r w:rsidR="006C212F">
        <w:rPr>
          <w:rFonts w:ascii="Times New Roman" w:hAnsi="Times New Roman" w:cs="Times New Roman"/>
        </w:rPr>
        <w:t xml:space="preserve">To </w:t>
      </w:r>
      <w:r w:rsidR="001D3E83">
        <w:rPr>
          <w:rFonts w:ascii="Times New Roman" w:hAnsi="Times New Roman" w:cs="Times New Roman"/>
        </w:rPr>
        <w:t>exemplify</w:t>
      </w:r>
      <w:r w:rsidR="001A44AE">
        <w:rPr>
          <w:rFonts w:ascii="Times New Roman" w:hAnsi="Times New Roman" w:cs="Times New Roman"/>
        </w:rPr>
        <w:t xml:space="preserve"> a non-religious case</w:t>
      </w:r>
      <w:r w:rsidR="006C212F">
        <w:rPr>
          <w:rFonts w:ascii="Times New Roman" w:hAnsi="Times New Roman" w:cs="Times New Roman"/>
        </w:rPr>
        <w:t xml:space="preserve">: after moving to a new house, </w:t>
      </w:r>
      <w:r w:rsidR="006D6E3A">
        <w:rPr>
          <w:rFonts w:ascii="Times New Roman" w:hAnsi="Times New Roman" w:cs="Times New Roman"/>
        </w:rPr>
        <w:t xml:space="preserve">one’s home address may not yet be a hinge for </w:t>
      </w:r>
      <w:proofErr w:type="gramStart"/>
      <w:r w:rsidR="006D6E3A">
        <w:rPr>
          <w:rFonts w:ascii="Times New Roman" w:hAnsi="Times New Roman" w:cs="Times New Roman"/>
        </w:rPr>
        <w:t>one, and</w:t>
      </w:r>
      <w:proofErr w:type="gramEnd"/>
      <w:r w:rsidR="006D6E3A">
        <w:rPr>
          <w:rFonts w:ascii="Times New Roman" w:hAnsi="Times New Roman" w:cs="Times New Roman"/>
        </w:rPr>
        <w:t xml:space="preserve"> yet become so after </w:t>
      </w:r>
      <w:r w:rsidR="00084CDE">
        <w:rPr>
          <w:rFonts w:ascii="Times New Roman" w:hAnsi="Times New Roman" w:cs="Times New Roman"/>
        </w:rPr>
        <w:t xml:space="preserve">a period of </w:t>
      </w:r>
      <w:r w:rsidR="00084CDE">
        <w:rPr>
          <w:rFonts w:ascii="Times New Roman" w:hAnsi="Times New Roman" w:cs="Times New Roman"/>
        </w:rPr>
        <w:lastRenderedPageBreak/>
        <w:t>habituation</w:t>
      </w:r>
      <w:r w:rsidR="001B1132">
        <w:rPr>
          <w:rFonts w:ascii="Times New Roman" w:hAnsi="Times New Roman" w:cs="Times New Roman"/>
        </w:rPr>
        <w:t xml:space="preserve">. </w:t>
      </w:r>
      <w:r w:rsidR="00914DE1">
        <w:rPr>
          <w:rFonts w:ascii="Times New Roman" w:hAnsi="Times New Roman" w:cs="Times New Roman"/>
        </w:rPr>
        <w:t xml:space="preserve">That is, </w:t>
      </w:r>
      <w:r w:rsidR="005D307E">
        <w:rPr>
          <w:rFonts w:ascii="Times New Roman" w:hAnsi="Times New Roman" w:cs="Times New Roman"/>
        </w:rPr>
        <w:t xml:space="preserve">if, after such a period, </w:t>
      </w:r>
      <w:r w:rsidR="00914DE1">
        <w:rPr>
          <w:rFonts w:ascii="Times New Roman" w:hAnsi="Times New Roman" w:cs="Times New Roman"/>
        </w:rPr>
        <w:t xml:space="preserve">one </w:t>
      </w:r>
      <w:proofErr w:type="gramStart"/>
      <w:r w:rsidR="00ED2094">
        <w:rPr>
          <w:rFonts w:ascii="Times New Roman" w:hAnsi="Times New Roman" w:cs="Times New Roman"/>
        </w:rPr>
        <w:t>were</w:t>
      </w:r>
      <w:proofErr w:type="gramEnd"/>
      <w:r w:rsidR="00914DE1">
        <w:rPr>
          <w:rFonts w:ascii="Times New Roman" w:hAnsi="Times New Roman" w:cs="Times New Roman"/>
        </w:rPr>
        <w:t xml:space="preserve"> </w:t>
      </w:r>
      <w:r w:rsidR="008E5C3E">
        <w:rPr>
          <w:rFonts w:ascii="Times New Roman" w:hAnsi="Times New Roman" w:cs="Times New Roman"/>
        </w:rPr>
        <w:t xml:space="preserve">consistently </w:t>
      </w:r>
      <w:r w:rsidR="00914DE1">
        <w:rPr>
          <w:rFonts w:ascii="Times New Roman" w:hAnsi="Times New Roman" w:cs="Times New Roman"/>
        </w:rPr>
        <w:t xml:space="preserve">mistaken about </w:t>
      </w:r>
      <w:r w:rsidR="005D307E">
        <w:rPr>
          <w:rFonts w:ascii="Times New Roman" w:hAnsi="Times New Roman" w:cs="Times New Roman"/>
        </w:rPr>
        <w:t>one’s address</w:t>
      </w:r>
      <w:r w:rsidR="00914DE1">
        <w:rPr>
          <w:rFonts w:ascii="Times New Roman" w:hAnsi="Times New Roman" w:cs="Times New Roman"/>
        </w:rPr>
        <w:t>, that would</w:t>
      </w:r>
      <w:r w:rsidR="00104E25">
        <w:rPr>
          <w:rFonts w:ascii="Times New Roman" w:hAnsi="Times New Roman" w:cs="Times New Roman"/>
        </w:rPr>
        <w:t xml:space="preserve"> be</w:t>
      </w:r>
      <w:r w:rsidR="00914DE1">
        <w:rPr>
          <w:rFonts w:ascii="Times New Roman" w:hAnsi="Times New Roman" w:cs="Times New Roman"/>
        </w:rPr>
        <w:t xml:space="preserve"> taken as a </w:t>
      </w:r>
      <w:r w:rsidR="00104E25">
        <w:rPr>
          <w:rFonts w:ascii="Times New Roman" w:hAnsi="Times New Roman" w:cs="Times New Roman"/>
        </w:rPr>
        <w:t>sign of cognitive impairment, rather than a</w:t>
      </w:r>
      <w:r w:rsidR="00E26B26">
        <w:rPr>
          <w:rFonts w:ascii="Times New Roman" w:hAnsi="Times New Roman" w:cs="Times New Roman"/>
        </w:rPr>
        <w:t>s a</w:t>
      </w:r>
      <w:r w:rsidR="00104E25">
        <w:rPr>
          <w:rFonts w:ascii="Times New Roman" w:hAnsi="Times New Roman" w:cs="Times New Roman"/>
        </w:rPr>
        <w:t xml:space="preserve"> mere mistake</w:t>
      </w:r>
      <w:r w:rsidR="00ED2094">
        <w:rPr>
          <w:rFonts w:ascii="Times New Roman" w:hAnsi="Times New Roman" w:cs="Times New Roman"/>
        </w:rPr>
        <w:t>.</w:t>
      </w:r>
      <w:r w:rsidR="00ED2094">
        <w:rPr>
          <w:rStyle w:val="FootnoteReference"/>
          <w:rFonts w:ascii="Times New Roman" w:hAnsi="Times New Roman" w:cs="Times New Roman"/>
        </w:rPr>
        <w:footnoteReference w:id="25"/>
      </w:r>
    </w:p>
    <w:p w14:paraId="0A11A511" w14:textId="1C45F0BF" w:rsidR="00E712B6" w:rsidRPr="0000779B" w:rsidRDefault="0092565F" w:rsidP="0000779B">
      <w:pPr>
        <w:spacing w:line="360" w:lineRule="auto"/>
        <w:jc w:val="both"/>
        <w:rPr>
          <w:rFonts w:ascii="Times New Roman" w:hAnsi="Times New Roman" w:cs="Times New Roman"/>
        </w:rPr>
      </w:pPr>
      <w:r>
        <w:rPr>
          <w:rFonts w:ascii="Times New Roman" w:hAnsi="Times New Roman" w:cs="Times New Roman"/>
        </w:rPr>
        <w:t>I</w:t>
      </w:r>
      <w:r w:rsidR="004A55CC">
        <w:rPr>
          <w:rFonts w:ascii="Times New Roman" w:hAnsi="Times New Roman" w:cs="Times New Roman"/>
        </w:rPr>
        <w:t xml:space="preserve">n the religious case, the Trinitarian belief became dogma </w:t>
      </w:r>
      <w:r w:rsidR="0060406E">
        <w:rPr>
          <w:rFonts w:ascii="Times New Roman" w:hAnsi="Times New Roman" w:cs="Times New Roman"/>
        </w:rPr>
        <w:t xml:space="preserve">– and thus turned into a religious hinge, characteristic of several Christian </w:t>
      </w:r>
      <w:r w:rsidR="002B782A">
        <w:rPr>
          <w:rFonts w:ascii="Times New Roman" w:hAnsi="Times New Roman" w:cs="Times New Roman"/>
        </w:rPr>
        <w:t>Churches</w:t>
      </w:r>
      <w:r w:rsidR="0060406E">
        <w:rPr>
          <w:rFonts w:ascii="Times New Roman" w:hAnsi="Times New Roman" w:cs="Times New Roman"/>
        </w:rPr>
        <w:t xml:space="preserve"> </w:t>
      </w:r>
      <w:r w:rsidR="00772EBD">
        <w:rPr>
          <w:rFonts w:ascii="Times New Roman" w:hAnsi="Times New Roman" w:cs="Times New Roman"/>
        </w:rPr>
        <w:t xml:space="preserve">– only after the above-mentioned Council of </w:t>
      </w:r>
      <w:proofErr w:type="spellStart"/>
      <w:r w:rsidR="00772EBD">
        <w:rPr>
          <w:rFonts w:ascii="Times New Roman" w:hAnsi="Times New Roman" w:cs="Times New Roman"/>
        </w:rPr>
        <w:t>Nicea</w:t>
      </w:r>
      <w:proofErr w:type="spellEnd"/>
      <w:r w:rsidR="00772EBD">
        <w:rPr>
          <w:rFonts w:ascii="Times New Roman" w:hAnsi="Times New Roman" w:cs="Times New Roman"/>
        </w:rPr>
        <w:t>.</w:t>
      </w:r>
      <w:r w:rsidR="005A448B">
        <w:rPr>
          <w:rFonts w:ascii="Times New Roman" w:hAnsi="Times New Roman" w:cs="Times New Roman"/>
        </w:rPr>
        <w:t xml:space="preserve"> While Arians rejected it</w:t>
      </w:r>
      <w:r w:rsidR="003E74AC">
        <w:rPr>
          <w:rFonts w:ascii="Times New Roman" w:hAnsi="Times New Roman" w:cs="Times New Roman"/>
        </w:rPr>
        <w:t xml:space="preserve"> altogether, other people of faith, most notably </w:t>
      </w:r>
      <w:r w:rsidR="00D374D3">
        <w:rPr>
          <w:rFonts w:ascii="Times New Roman" w:hAnsi="Times New Roman" w:cs="Times New Roman"/>
        </w:rPr>
        <w:t xml:space="preserve">Isaac Newton, </w:t>
      </w:r>
      <w:r w:rsidR="00093568">
        <w:rPr>
          <w:rFonts w:ascii="Times New Roman" w:hAnsi="Times New Roman" w:cs="Times New Roman"/>
        </w:rPr>
        <w:t xml:space="preserve">still considered it a belief which should not have been turned into a dogma – and therefore into a hinge of </w:t>
      </w:r>
      <w:r w:rsidR="00477FD5">
        <w:rPr>
          <w:rFonts w:ascii="Times New Roman" w:hAnsi="Times New Roman" w:cs="Times New Roman"/>
        </w:rPr>
        <w:t xml:space="preserve">at least the main </w:t>
      </w:r>
      <w:r w:rsidR="00093568">
        <w:rPr>
          <w:rFonts w:ascii="Times New Roman" w:hAnsi="Times New Roman" w:cs="Times New Roman"/>
        </w:rPr>
        <w:t>Christian</w:t>
      </w:r>
      <w:r w:rsidR="00477FD5">
        <w:rPr>
          <w:rFonts w:ascii="Times New Roman" w:hAnsi="Times New Roman" w:cs="Times New Roman"/>
        </w:rPr>
        <w:t xml:space="preserve"> Churches</w:t>
      </w:r>
      <w:r w:rsidR="00093568">
        <w:rPr>
          <w:rFonts w:ascii="Times New Roman" w:hAnsi="Times New Roman" w:cs="Times New Roman"/>
        </w:rPr>
        <w:t>.</w:t>
      </w:r>
      <w:r>
        <w:rPr>
          <w:rFonts w:ascii="Times New Roman" w:hAnsi="Times New Roman" w:cs="Times New Roman"/>
        </w:rPr>
        <w:t xml:space="preserve"> That is, </w:t>
      </w:r>
      <w:r w:rsidR="00936262">
        <w:rPr>
          <w:rFonts w:ascii="Times New Roman" w:hAnsi="Times New Roman" w:cs="Times New Roman"/>
        </w:rPr>
        <w:t xml:space="preserve">Newton thought that </w:t>
      </w:r>
      <w:r w:rsidR="00CA2CC5">
        <w:rPr>
          <w:rFonts w:ascii="Times New Roman" w:hAnsi="Times New Roman" w:cs="Times New Roman"/>
        </w:rPr>
        <w:t xml:space="preserve">the </w:t>
      </w:r>
      <w:r w:rsidR="000E6ECB">
        <w:rPr>
          <w:rFonts w:ascii="Times New Roman" w:hAnsi="Times New Roman" w:cs="Times New Roman"/>
        </w:rPr>
        <w:t>doctrine</w:t>
      </w:r>
      <w:r w:rsidR="007873B3">
        <w:rPr>
          <w:rFonts w:ascii="Times New Roman" w:hAnsi="Times New Roman" w:cs="Times New Roman"/>
        </w:rPr>
        <w:t xml:space="preserve"> of the </w:t>
      </w:r>
      <w:r w:rsidR="00CA2CC5">
        <w:rPr>
          <w:rFonts w:ascii="Times New Roman" w:hAnsi="Times New Roman" w:cs="Times New Roman"/>
        </w:rPr>
        <w:t>Holy Trinity</w:t>
      </w:r>
      <w:r w:rsidR="00936262">
        <w:rPr>
          <w:rFonts w:ascii="Times New Roman" w:hAnsi="Times New Roman" w:cs="Times New Roman"/>
        </w:rPr>
        <w:t xml:space="preserve"> shouldn’t have been constitutive of </w:t>
      </w:r>
      <w:r w:rsidR="00CA2CC5">
        <w:rPr>
          <w:rFonts w:ascii="Times New Roman" w:hAnsi="Times New Roman" w:cs="Times New Roman"/>
        </w:rPr>
        <w:t xml:space="preserve">Christian faith, such that </w:t>
      </w:r>
      <w:r w:rsidR="007217EE">
        <w:rPr>
          <w:rFonts w:ascii="Times New Roman" w:hAnsi="Times New Roman" w:cs="Times New Roman"/>
        </w:rPr>
        <w:t>if one didn’t adhere to it, o</w:t>
      </w:r>
      <w:r w:rsidR="00AD5194">
        <w:rPr>
          <w:rFonts w:ascii="Times New Roman" w:hAnsi="Times New Roman" w:cs="Times New Roman"/>
        </w:rPr>
        <w:t>ne would automatically fall out of Ch</w:t>
      </w:r>
      <w:r w:rsidR="00477FD5">
        <w:rPr>
          <w:rFonts w:ascii="Times New Roman" w:hAnsi="Times New Roman" w:cs="Times New Roman"/>
        </w:rPr>
        <w:t>ristian religion</w:t>
      </w:r>
      <w:r w:rsidR="00F92EEE">
        <w:rPr>
          <w:rFonts w:ascii="Times New Roman" w:hAnsi="Times New Roman" w:cs="Times New Roman"/>
        </w:rPr>
        <w:t xml:space="preserve"> (at least in its main veins)</w:t>
      </w:r>
      <w:r w:rsidR="00477FD5">
        <w:rPr>
          <w:rFonts w:ascii="Times New Roman" w:hAnsi="Times New Roman" w:cs="Times New Roman"/>
        </w:rPr>
        <w:t>.</w:t>
      </w:r>
      <w:r w:rsidR="003A35CD">
        <w:rPr>
          <w:rStyle w:val="FootnoteReference"/>
          <w:rFonts w:ascii="Times New Roman" w:hAnsi="Times New Roman" w:cs="Times New Roman"/>
        </w:rPr>
        <w:footnoteReference w:id="26"/>
      </w:r>
    </w:p>
    <w:p w14:paraId="68FE7A87" w14:textId="69FA2036" w:rsidR="0000779B" w:rsidRDefault="00575342" w:rsidP="00575342">
      <w:pPr>
        <w:pStyle w:val="BodyText"/>
        <w:spacing w:after="160" w:line="360" w:lineRule="auto"/>
        <w:ind w:right="107"/>
        <w:jc w:val="both"/>
      </w:pPr>
      <w:r w:rsidRPr="00575342">
        <w:t>Anothe</w:t>
      </w:r>
      <w:r>
        <w:t>r important aspect of OC which may profitably be applied to religious epistemology is the kind of attitude that, according to Wittgenstein, we bear to hinge</w:t>
      </w:r>
      <w:r w:rsidR="00887D4E">
        <w:t>s</w:t>
      </w:r>
      <w:r w:rsidR="003E6F6C">
        <w:t>. More specifically, for him, our attitude towards hinges</w:t>
      </w:r>
      <w:r w:rsidR="00887D4E">
        <w:t xml:space="preserve"> is not one of belief, in the sense of an attitude whose input and output conditions are governed by epistemic norms, such as </w:t>
      </w:r>
      <w:r w:rsidR="00AF266C">
        <w:t xml:space="preserve">(empirical) </w:t>
      </w:r>
      <w:r w:rsidR="00CB22AC">
        <w:t xml:space="preserve">evidence and </w:t>
      </w:r>
      <w:r w:rsidR="00AF266C">
        <w:t>justification</w:t>
      </w:r>
      <w:r w:rsidR="00E55039">
        <w:t>.</w:t>
      </w:r>
      <w:r w:rsidR="00E55039">
        <w:rPr>
          <w:rStyle w:val="FootnoteReference"/>
        </w:rPr>
        <w:footnoteReference w:id="27"/>
      </w:r>
      <w:r w:rsidR="00454EDC">
        <w:t xml:space="preserve"> Hinges, for Wittgenstein, are</w:t>
      </w:r>
      <w:r w:rsidR="0018702D">
        <w:t xml:space="preserve"> rather</w:t>
      </w:r>
      <w:r w:rsidR="00454EDC">
        <w:t xml:space="preserve"> the content of </w:t>
      </w:r>
      <w:r w:rsidR="00454EDC" w:rsidRPr="00CB22AC">
        <w:rPr>
          <w:i/>
          <w:iCs/>
        </w:rPr>
        <w:t>trust</w:t>
      </w:r>
      <w:r w:rsidR="0018702D">
        <w:t xml:space="preserve"> (</w:t>
      </w:r>
      <w:r w:rsidR="00DC2898">
        <w:t xml:space="preserve">OC 150, </w:t>
      </w:r>
      <w:r w:rsidR="00555F9C">
        <w:t xml:space="preserve">159, 275, </w:t>
      </w:r>
      <w:r w:rsidR="004C05FF">
        <w:t>337</w:t>
      </w:r>
      <w:r w:rsidR="00C72EA7">
        <w:t>, 509</w:t>
      </w:r>
      <w:r w:rsidR="003418D9">
        <w:t xml:space="preserve">, 599-600, </w:t>
      </w:r>
      <w:r w:rsidR="009913E9">
        <w:t>672</w:t>
      </w:r>
      <w:r w:rsidR="0018702D">
        <w:t>)</w:t>
      </w:r>
      <w:r w:rsidR="00A43B30">
        <w:t>, where trust, in its turn, isn’t equated to trustworthiness</w:t>
      </w:r>
      <w:r w:rsidR="0018702D">
        <w:t xml:space="preserve"> – that is, to the determination of whether trust is</w:t>
      </w:r>
      <w:r w:rsidR="00A43B30">
        <w:t xml:space="preserve"> </w:t>
      </w:r>
      <w:r w:rsidR="0018702D">
        <w:t xml:space="preserve">merited (see </w:t>
      </w:r>
      <w:r w:rsidR="0018702D" w:rsidRPr="00967863">
        <w:t>Coliva 2025</w:t>
      </w:r>
      <w:r w:rsidR="00967863" w:rsidRPr="00967863">
        <w:t>e</w:t>
      </w:r>
      <w:r w:rsidR="0018702D" w:rsidRPr="00967863">
        <w:t>).</w:t>
      </w:r>
      <w:r w:rsidR="0018702D">
        <w:t xml:space="preserve"> </w:t>
      </w:r>
      <w:r w:rsidR="008D7092">
        <w:t>“</w:t>
      </w:r>
      <w:r w:rsidR="00A15F3D">
        <w:t>Hinge</w:t>
      </w:r>
      <w:r w:rsidR="008D7092">
        <w:t>-</w:t>
      </w:r>
      <w:r w:rsidR="00A15F3D">
        <w:t>tr</w:t>
      </w:r>
      <w:r w:rsidR="00A43B30">
        <w:t>ust</w:t>
      </w:r>
      <w:r w:rsidR="008D7092">
        <w:t>” – as we might call it –</w:t>
      </w:r>
      <w:r w:rsidR="00CB22AC">
        <w:t xml:space="preserve"> </w:t>
      </w:r>
      <w:r w:rsidR="00A43B30">
        <w:t>is</w:t>
      </w:r>
      <w:r w:rsidR="00CB22AC">
        <w:t xml:space="preserve"> rather</w:t>
      </w:r>
      <w:r w:rsidR="00A43B30">
        <w:t xml:space="preserve"> a</w:t>
      </w:r>
      <w:r w:rsidR="00496EB2">
        <w:t xml:space="preserve">n attitude of </w:t>
      </w:r>
      <w:r w:rsidR="00496EB2" w:rsidRPr="00FA7D33">
        <w:rPr>
          <w:i/>
          <w:iCs/>
        </w:rPr>
        <w:t>unquestioning acceptance</w:t>
      </w:r>
      <w:r w:rsidR="00496EB2">
        <w:t xml:space="preserve"> of a proposition, </w:t>
      </w:r>
      <w:r w:rsidR="00A15F3D">
        <w:t>which, in many cases of hinges, is inherited from one’s epistemic community.</w:t>
      </w:r>
      <w:r w:rsidR="00B00629">
        <w:rPr>
          <w:rStyle w:val="FootnoteReference"/>
        </w:rPr>
        <w:footnoteReference w:id="28"/>
      </w:r>
      <w:r w:rsidR="00A15F3D">
        <w:t xml:space="preserve"> Likewise, in the religious case, with respect to the </w:t>
      </w:r>
      <w:r w:rsidR="00A15F3D">
        <w:lastRenderedPageBreak/>
        <w:t xml:space="preserve">fundamental tenets of one’s religion, the attitude </w:t>
      </w:r>
      <w:r w:rsidR="003E6F6C">
        <w:t xml:space="preserve">practitioners have towards them is precisely one of unquestioning acceptance – that is, an attitude of </w:t>
      </w:r>
      <w:r w:rsidR="00851802">
        <w:t>“</w:t>
      </w:r>
      <w:r w:rsidR="003E6F6C">
        <w:t>hinge</w:t>
      </w:r>
      <w:r w:rsidR="00851802">
        <w:t>-</w:t>
      </w:r>
      <w:r w:rsidR="003E6F6C">
        <w:t>trust</w:t>
      </w:r>
      <w:r w:rsidR="00851802">
        <w:t>”</w:t>
      </w:r>
      <w:r w:rsidR="003E6F6C">
        <w:t>.</w:t>
      </w:r>
      <w:r w:rsidR="00A15F3D">
        <w:t xml:space="preserve"> </w:t>
      </w:r>
      <w:r w:rsidR="005B6025">
        <w:t xml:space="preserve">This also explains why the content of one’s religious faith is </w:t>
      </w:r>
      <w:r w:rsidR="00957D3D">
        <w:t>typically immune to ordinary epistemic appraisal</w:t>
      </w:r>
      <w:r w:rsidR="00C22426">
        <w:t>, by means of amassing contrary empirical evidence</w:t>
      </w:r>
      <w:r w:rsidR="00551521">
        <w:t>, or else coming from a different religious tradition</w:t>
      </w:r>
      <w:r w:rsidR="00C22426">
        <w:t xml:space="preserve">. </w:t>
      </w:r>
    </w:p>
    <w:p w14:paraId="173CFCB3" w14:textId="6E3B012B" w:rsidR="0084729A" w:rsidRDefault="0084729A" w:rsidP="00575342">
      <w:pPr>
        <w:pStyle w:val="BodyText"/>
        <w:spacing w:after="160" w:line="360" w:lineRule="auto"/>
        <w:ind w:right="107"/>
        <w:jc w:val="both"/>
      </w:pPr>
      <w:r>
        <w:t>In a series of telling passages in OC, Wittgenstein writes</w:t>
      </w:r>
      <w:r w:rsidR="002D293C">
        <w:t xml:space="preserve"> (OC 106-107)</w:t>
      </w:r>
      <w:r>
        <w:t xml:space="preserve">: </w:t>
      </w:r>
    </w:p>
    <w:p w14:paraId="2ED4093F" w14:textId="12784E7A" w:rsidR="002D293C" w:rsidRDefault="002D293C" w:rsidP="002D293C">
      <w:pPr>
        <w:pStyle w:val="BodyText"/>
        <w:spacing w:after="160" w:line="360" w:lineRule="auto"/>
        <w:ind w:left="720" w:right="107"/>
        <w:jc w:val="both"/>
      </w:pPr>
      <w:r>
        <w:t xml:space="preserve">… </w:t>
      </w:r>
      <w:r w:rsidRPr="002D293C">
        <w:t xml:space="preserve">What reply could I make to the adults of a tribe who believe that people sometimes go to the moon (perhaps that is how they interpret their dreams), and who indeed grant that there are no ordinary means of climbing up to it or flying there? </w:t>
      </w:r>
      <w:r>
        <w:t>…</w:t>
      </w:r>
    </w:p>
    <w:p w14:paraId="1565F201" w14:textId="61F88017" w:rsidR="002D293C" w:rsidRPr="00575342" w:rsidRDefault="007B28C0" w:rsidP="002D293C">
      <w:pPr>
        <w:pStyle w:val="BodyText"/>
        <w:spacing w:after="160" w:line="360" w:lineRule="auto"/>
        <w:ind w:left="720" w:right="107"/>
        <w:jc w:val="both"/>
      </w:pPr>
      <w:r w:rsidRPr="007B28C0">
        <w:t>Isn</w:t>
      </w:r>
      <w:r w:rsidR="001E4468">
        <w:t>’</w:t>
      </w:r>
      <w:r w:rsidRPr="007B28C0">
        <w:t>t this altogether like the way one can instruct a child to believe in a God, or that none exists, and it will accordingly be able to produce apparently telling grounds for the one or the other?</w:t>
      </w:r>
      <w:r w:rsidR="001E4468">
        <w:rPr>
          <w:rStyle w:val="FootnoteReference"/>
        </w:rPr>
        <w:footnoteReference w:id="29"/>
      </w:r>
    </w:p>
    <w:p w14:paraId="7A549673" w14:textId="14642715" w:rsidR="00AE5990" w:rsidRDefault="005F24DC" w:rsidP="00575342">
      <w:pPr>
        <w:spacing w:line="360" w:lineRule="auto"/>
        <w:jc w:val="both"/>
        <w:rPr>
          <w:rFonts w:ascii="Times New Roman" w:hAnsi="Times New Roman" w:cs="Times New Roman"/>
        </w:rPr>
      </w:pPr>
      <w:r>
        <w:rPr>
          <w:rFonts w:ascii="Times New Roman" w:hAnsi="Times New Roman" w:cs="Times New Roman"/>
        </w:rPr>
        <w:t xml:space="preserve">Finally, it merits note that </w:t>
      </w:r>
      <w:r w:rsidR="00ED6D41">
        <w:rPr>
          <w:rFonts w:ascii="Times New Roman" w:hAnsi="Times New Roman" w:cs="Times New Roman"/>
        </w:rPr>
        <w:t xml:space="preserve">once religious </w:t>
      </w:r>
      <w:r w:rsidR="002A47AE">
        <w:rPr>
          <w:rFonts w:ascii="Times New Roman" w:hAnsi="Times New Roman" w:cs="Times New Roman"/>
        </w:rPr>
        <w:t xml:space="preserve">dogmas </w:t>
      </w:r>
      <w:r w:rsidR="00ED6D41">
        <w:rPr>
          <w:rFonts w:ascii="Times New Roman" w:hAnsi="Times New Roman" w:cs="Times New Roman"/>
        </w:rPr>
        <w:t xml:space="preserve">are in place and the source of normative authority is established, then religious practitioners can form many </w:t>
      </w:r>
      <w:r w:rsidR="002A47AE">
        <w:rPr>
          <w:rFonts w:ascii="Times New Roman" w:hAnsi="Times New Roman" w:cs="Times New Roman"/>
        </w:rPr>
        <w:t>“</w:t>
      </w:r>
      <w:r w:rsidR="00D778DD">
        <w:rPr>
          <w:rFonts w:ascii="Times New Roman" w:hAnsi="Times New Roman" w:cs="Times New Roman"/>
        </w:rPr>
        <w:t>ordinary</w:t>
      </w:r>
      <w:r w:rsidR="002A47AE">
        <w:rPr>
          <w:rFonts w:ascii="Times New Roman" w:hAnsi="Times New Roman" w:cs="Times New Roman"/>
        </w:rPr>
        <w:t>”</w:t>
      </w:r>
      <w:r w:rsidR="00D778DD">
        <w:rPr>
          <w:rFonts w:ascii="Times New Roman" w:hAnsi="Times New Roman" w:cs="Times New Roman"/>
        </w:rPr>
        <w:t xml:space="preserve"> religious </w:t>
      </w:r>
      <w:r w:rsidR="00ED6D41">
        <w:rPr>
          <w:rFonts w:ascii="Times New Roman" w:hAnsi="Times New Roman" w:cs="Times New Roman"/>
        </w:rPr>
        <w:t>beliefs</w:t>
      </w:r>
      <w:r w:rsidR="00284325">
        <w:rPr>
          <w:rFonts w:ascii="Times New Roman" w:hAnsi="Times New Roman" w:cs="Times New Roman"/>
        </w:rPr>
        <w:t xml:space="preserve"> – that is, </w:t>
      </w:r>
      <w:r w:rsidR="00284325">
        <w:rPr>
          <w:rFonts w:ascii="Times New Roman" w:hAnsi="Times New Roman" w:cs="Times New Roman"/>
        </w:rPr>
        <w:lastRenderedPageBreak/>
        <w:t xml:space="preserve">beliefs whose input and output conditions are epistemically governed. For instance, based on </w:t>
      </w:r>
      <w:r w:rsidR="002C2E4E">
        <w:rPr>
          <w:rFonts w:ascii="Times New Roman" w:hAnsi="Times New Roman" w:cs="Times New Roman"/>
        </w:rPr>
        <w:t xml:space="preserve">the Gospels, </w:t>
      </w:r>
      <w:r w:rsidR="00D71431">
        <w:rPr>
          <w:rFonts w:ascii="Times New Roman" w:hAnsi="Times New Roman" w:cs="Times New Roman"/>
        </w:rPr>
        <w:t>Christians</w:t>
      </w:r>
      <w:r w:rsidR="002C2E4E">
        <w:rPr>
          <w:rFonts w:ascii="Times New Roman" w:hAnsi="Times New Roman" w:cs="Times New Roman"/>
        </w:rPr>
        <w:t xml:space="preserve"> believe that Jesus Christ’s resurrection took place three days after his death. </w:t>
      </w:r>
      <w:r w:rsidR="00D16DD5">
        <w:rPr>
          <w:rFonts w:ascii="Times New Roman" w:hAnsi="Times New Roman" w:cs="Times New Roman"/>
        </w:rPr>
        <w:t xml:space="preserve">Yet, if it turned out that a systematic mistake was made in translating </w:t>
      </w:r>
      <w:r w:rsidR="00E22EE8">
        <w:rPr>
          <w:rFonts w:ascii="Times New Roman" w:hAnsi="Times New Roman" w:cs="Times New Roman"/>
        </w:rPr>
        <w:t>the text from Aramaic (or Greek)</w:t>
      </w:r>
      <w:r w:rsidR="00601D48">
        <w:rPr>
          <w:rFonts w:ascii="Times New Roman" w:hAnsi="Times New Roman" w:cs="Times New Roman"/>
        </w:rPr>
        <w:t xml:space="preserve">, </w:t>
      </w:r>
      <w:r w:rsidR="006A434B">
        <w:rPr>
          <w:rFonts w:ascii="Times New Roman" w:hAnsi="Times New Roman" w:cs="Times New Roman"/>
        </w:rPr>
        <w:t xml:space="preserve">and that the resurrection took place after </w:t>
      </w:r>
      <w:r w:rsidR="000432AC">
        <w:rPr>
          <w:rFonts w:ascii="Times New Roman" w:hAnsi="Times New Roman" w:cs="Times New Roman"/>
        </w:rPr>
        <w:t>two</w:t>
      </w:r>
      <w:r w:rsidR="006A434B">
        <w:rPr>
          <w:rFonts w:ascii="Times New Roman" w:hAnsi="Times New Roman" w:cs="Times New Roman"/>
        </w:rPr>
        <w:t xml:space="preserve"> days,</w:t>
      </w:r>
      <w:r w:rsidR="000432AC">
        <w:rPr>
          <w:rFonts w:ascii="Times New Roman" w:hAnsi="Times New Roman" w:cs="Times New Roman"/>
        </w:rPr>
        <w:t xml:space="preserve"> say,</w:t>
      </w:r>
      <w:r w:rsidR="006A434B">
        <w:rPr>
          <w:rFonts w:ascii="Times New Roman" w:hAnsi="Times New Roman" w:cs="Times New Roman"/>
        </w:rPr>
        <w:t xml:space="preserve"> t</w:t>
      </w:r>
      <w:r w:rsidR="003A316A">
        <w:rPr>
          <w:rFonts w:ascii="Times New Roman" w:hAnsi="Times New Roman" w:cs="Times New Roman"/>
        </w:rPr>
        <w:t xml:space="preserve">his would (or at any rate, ought to) produce a </w:t>
      </w:r>
      <w:r w:rsidR="006A434B">
        <w:rPr>
          <w:rFonts w:ascii="Times New Roman" w:hAnsi="Times New Roman" w:cs="Times New Roman"/>
        </w:rPr>
        <w:t xml:space="preserve">belief-revision, which would have no bearing on the fundamental </w:t>
      </w:r>
      <w:r w:rsidR="001C592C">
        <w:rPr>
          <w:rFonts w:ascii="Times New Roman" w:hAnsi="Times New Roman" w:cs="Times New Roman"/>
        </w:rPr>
        <w:t xml:space="preserve">tenets of </w:t>
      </w:r>
      <w:r w:rsidR="00D71431">
        <w:rPr>
          <w:rFonts w:ascii="Times New Roman" w:hAnsi="Times New Roman" w:cs="Times New Roman"/>
        </w:rPr>
        <w:t>Christianity</w:t>
      </w:r>
      <w:r w:rsidR="001C592C">
        <w:rPr>
          <w:rFonts w:ascii="Times New Roman" w:hAnsi="Times New Roman" w:cs="Times New Roman"/>
        </w:rPr>
        <w:t>.</w:t>
      </w:r>
      <w:r w:rsidR="00145D1C">
        <w:rPr>
          <w:rFonts w:ascii="Times New Roman" w:hAnsi="Times New Roman" w:cs="Times New Roman"/>
        </w:rPr>
        <w:t xml:space="preserve"> No new religio</w:t>
      </w:r>
      <w:r w:rsidR="00711073">
        <w:rPr>
          <w:rFonts w:ascii="Times New Roman" w:hAnsi="Times New Roman" w:cs="Times New Roman"/>
        </w:rPr>
        <w:t>n</w:t>
      </w:r>
      <w:r w:rsidR="00145D1C">
        <w:rPr>
          <w:rFonts w:ascii="Times New Roman" w:hAnsi="Times New Roman" w:cs="Times New Roman"/>
        </w:rPr>
        <w:t xml:space="preserve"> would ensue, and no conversion would be needed, just belief-revision </w:t>
      </w:r>
      <w:r w:rsidR="004A486E">
        <w:rPr>
          <w:rFonts w:ascii="Times New Roman" w:hAnsi="Times New Roman" w:cs="Times New Roman"/>
        </w:rPr>
        <w:t>considering</w:t>
      </w:r>
      <w:r w:rsidR="00145D1C">
        <w:rPr>
          <w:rFonts w:ascii="Times New Roman" w:hAnsi="Times New Roman" w:cs="Times New Roman"/>
        </w:rPr>
        <w:t xml:space="preserve"> a </w:t>
      </w:r>
      <w:r w:rsidR="002D2153">
        <w:rPr>
          <w:rFonts w:ascii="Times New Roman" w:hAnsi="Times New Roman" w:cs="Times New Roman"/>
        </w:rPr>
        <w:t>recognized mistake</w:t>
      </w:r>
      <w:r w:rsidR="00872505">
        <w:rPr>
          <w:rFonts w:ascii="Times New Roman" w:hAnsi="Times New Roman" w:cs="Times New Roman"/>
        </w:rPr>
        <w:t>, within one’s religious creed</w:t>
      </w:r>
      <w:r w:rsidR="002D2153">
        <w:rPr>
          <w:rFonts w:ascii="Times New Roman" w:hAnsi="Times New Roman" w:cs="Times New Roman"/>
        </w:rPr>
        <w:t>.</w:t>
      </w:r>
      <w:r w:rsidR="004A486E">
        <w:rPr>
          <w:rFonts w:ascii="Times New Roman" w:hAnsi="Times New Roman" w:cs="Times New Roman"/>
        </w:rPr>
        <w:t xml:space="preserve"> Even less dramatically, if </w:t>
      </w:r>
      <w:r w:rsidR="00E30502">
        <w:rPr>
          <w:rFonts w:ascii="Times New Roman" w:hAnsi="Times New Roman" w:cs="Times New Roman"/>
        </w:rPr>
        <w:t xml:space="preserve">it turned out that the religious belief that there nine choirs of angels </w:t>
      </w:r>
      <w:r w:rsidR="0072455F">
        <w:rPr>
          <w:rFonts w:ascii="Times New Roman" w:hAnsi="Times New Roman" w:cs="Times New Roman"/>
        </w:rPr>
        <w:t>is</w:t>
      </w:r>
      <w:r w:rsidR="003F226C">
        <w:rPr>
          <w:rFonts w:ascii="Times New Roman" w:hAnsi="Times New Roman" w:cs="Times New Roman"/>
        </w:rPr>
        <w:t xml:space="preserve"> mistaken, that would clearly not disrupt one’s Christian faith.</w:t>
      </w:r>
      <w:r w:rsidR="004927BC">
        <w:rPr>
          <w:rFonts w:ascii="Times New Roman" w:hAnsi="Times New Roman" w:cs="Times New Roman"/>
        </w:rPr>
        <w:t xml:space="preserve"> There are also intermediate interesting and controversial cases. For instance, for Catholics it is a matter of </w:t>
      </w:r>
      <w:r w:rsidR="00E479F1">
        <w:rPr>
          <w:rFonts w:ascii="Times New Roman" w:hAnsi="Times New Roman" w:cs="Times New Roman"/>
        </w:rPr>
        <w:t>“</w:t>
      </w:r>
      <w:r w:rsidR="004927BC">
        <w:rPr>
          <w:rFonts w:ascii="Times New Roman" w:hAnsi="Times New Roman" w:cs="Times New Roman"/>
        </w:rPr>
        <w:t>infallible doctrine”</w:t>
      </w:r>
      <w:r w:rsidR="00E479F1">
        <w:rPr>
          <w:rFonts w:ascii="Times New Roman" w:hAnsi="Times New Roman" w:cs="Times New Roman"/>
        </w:rPr>
        <w:t xml:space="preserve"> – yet not of divine revelation – that priesthood is </w:t>
      </w:r>
      <w:r w:rsidR="0000324E">
        <w:rPr>
          <w:rFonts w:ascii="Times New Roman" w:hAnsi="Times New Roman" w:cs="Times New Roman"/>
        </w:rPr>
        <w:t xml:space="preserve">reserved to men. While holding the opposite has </w:t>
      </w:r>
      <w:r w:rsidR="00BC141D">
        <w:rPr>
          <w:rFonts w:ascii="Times New Roman" w:hAnsi="Times New Roman" w:cs="Times New Roman"/>
        </w:rPr>
        <w:t xml:space="preserve">so far been enough to excommunicate one from </w:t>
      </w:r>
      <w:r w:rsidR="00B14296">
        <w:rPr>
          <w:rFonts w:ascii="Times New Roman" w:hAnsi="Times New Roman" w:cs="Times New Roman"/>
        </w:rPr>
        <w:t xml:space="preserve">that Church, it would be interesting to see if, under further societal pressures, Catholicism itself would be open </w:t>
      </w:r>
      <w:r w:rsidR="001E3197">
        <w:rPr>
          <w:rFonts w:ascii="Times New Roman" w:hAnsi="Times New Roman" w:cs="Times New Roman"/>
        </w:rPr>
        <w:t xml:space="preserve">to </w:t>
      </w:r>
      <w:r w:rsidR="007A4768">
        <w:rPr>
          <w:rFonts w:ascii="Times New Roman" w:hAnsi="Times New Roman" w:cs="Times New Roman"/>
        </w:rPr>
        <w:t>demot</w:t>
      </w:r>
      <w:r w:rsidR="00E14F24">
        <w:rPr>
          <w:rFonts w:ascii="Times New Roman" w:hAnsi="Times New Roman" w:cs="Times New Roman"/>
        </w:rPr>
        <w:t>ing</w:t>
      </w:r>
      <w:r w:rsidR="007A4768">
        <w:rPr>
          <w:rFonts w:ascii="Times New Roman" w:hAnsi="Times New Roman" w:cs="Times New Roman"/>
        </w:rPr>
        <w:t xml:space="preserve"> that hinge – albeit not one as fundamental to Catholicism and Christianity</w:t>
      </w:r>
      <w:r w:rsidR="00E14F24">
        <w:rPr>
          <w:rFonts w:ascii="Times New Roman" w:hAnsi="Times New Roman" w:cs="Times New Roman"/>
        </w:rPr>
        <w:t xml:space="preserve"> as the divine nature of Jesus Christ –</w:t>
      </w:r>
      <w:r w:rsidR="004800A6">
        <w:rPr>
          <w:rFonts w:ascii="Times New Roman" w:hAnsi="Times New Roman" w:cs="Times New Roman"/>
        </w:rPr>
        <w:t xml:space="preserve"> </w:t>
      </w:r>
      <w:r w:rsidR="00E14F24">
        <w:rPr>
          <w:rFonts w:ascii="Times New Roman" w:hAnsi="Times New Roman" w:cs="Times New Roman"/>
        </w:rPr>
        <w:t xml:space="preserve">to the role of </w:t>
      </w:r>
      <w:r w:rsidR="00ED6C9C">
        <w:rPr>
          <w:rFonts w:ascii="Times New Roman" w:hAnsi="Times New Roman" w:cs="Times New Roman"/>
        </w:rPr>
        <w:t xml:space="preserve">an “ordinary” religious belief, which may </w:t>
      </w:r>
      <w:r w:rsidR="000C35B4">
        <w:rPr>
          <w:rFonts w:ascii="Times New Roman" w:hAnsi="Times New Roman" w:cs="Times New Roman"/>
        </w:rPr>
        <w:t>revised</w:t>
      </w:r>
      <w:r w:rsidR="00ED6C9C">
        <w:rPr>
          <w:rFonts w:ascii="Times New Roman" w:hAnsi="Times New Roman" w:cs="Times New Roman"/>
        </w:rPr>
        <w:t xml:space="preserve"> in the future.</w:t>
      </w:r>
    </w:p>
    <w:p w14:paraId="4312DB0B" w14:textId="6F6CBA5B" w:rsidR="00543A0A" w:rsidRDefault="00543A0A" w:rsidP="00575342">
      <w:pPr>
        <w:spacing w:line="360" w:lineRule="auto"/>
        <w:jc w:val="both"/>
        <w:rPr>
          <w:rFonts w:ascii="Times New Roman" w:hAnsi="Times New Roman" w:cs="Times New Roman"/>
        </w:rPr>
      </w:pPr>
      <w:r>
        <w:rPr>
          <w:rFonts w:ascii="Times New Roman" w:hAnsi="Times New Roman" w:cs="Times New Roman"/>
        </w:rPr>
        <w:t xml:space="preserve">Thus, a hinge-theoretic framework has the resources to make sense of the Catholic Church’s distinction between </w:t>
      </w:r>
      <w:r w:rsidR="004800A6" w:rsidRPr="00470343">
        <w:rPr>
          <w:rFonts w:ascii="Times New Roman" w:hAnsi="Times New Roman" w:cs="Times New Roman"/>
        </w:rPr>
        <w:t>“dogmas”, that are divinely revealed and infallibly taught by the Church; “infallible doctrines”, that aren’t divinely revealed, but are infallibly taught by the Church; “non-infallible doctrines”, which are taught by the Church but aren’t infallible; and “theological opinions”, which are compatible with dogmas, and infallible and infallible doctrines, but aren’t taught by the Church</w:t>
      </w:r>
      <w:r w:rsidR="004800A6">
        <w:rPr>
          <w:rFonts w:ascii="Times New Roman" w:hAnsi="Times New Roman" w:cs="Times New Roman"/>
        </w:rPr>
        <w:t xml:space="preserve">. </w:t>
      </w:r>
      <w:r w:rsidR="00DA1C43">
        <w:rPr>
          <w:rFonts w:ascii="Times New Roman" w:hAnsi="Times New Roman" w:cs="Times New Roman"/>
        </w:rPr>
        <w:t>For d</w:t>
      </w:r>
      <w:r w:rsidR="004800A6">
        <w:rPr>
          <w:rFonts w:ascii="Times New Roman" w:hAnsi="Times New Roman" w:cs="Times New Roman"/>
        </w:rPr>
        <w:t xml:space="preserve">ogmas would be </w:t>
      </w:r>
      <w:r w:rsidR="00DA1C43">
        <w:rPr>
          <w:rFonts w:ascii="Times New Roman" w:hAnsi="Times New Roman" w:cs="Times New Roman"/>
        </w:rPr>
        <w:t xml:space="preserve">like </w:t>
      </w:r>
      <w:r w:rsidR="004800A6">
        <w:rPr>
          <w:rFonts w:ascii="Times New Roman" w:hAnsi="Times New Roman" w:cs="Times New Roman"/>
        </w:rPr>
        <w:t xml:space="preserve">de jure </w:t>
      </w:r>
      <w:r w:rsidR="00E62F65">
        <w:rPr>
          <w:rFonts w:ascii="Times New Roman" w:hAnsi="Times New Roman" w:cs="Times New Roman"/>
        </w:rPr>
        <w:t>–</w:t>
      </w:r>
      <w:r w:rsidR="004800A6">
        <w:rPr>
          <w:rFonts w:ascii="Times New Roman" w:hAnsi="Times New Roman" w:cs="Times New Roman"/>
        </w:rPr>
        <w:t xml:space="preserve"> </w:t>
      </w:r>
      <w:r w:rsidR="00E62F65">
        <w:rPr>
          <w:rFonts w:ascii="Times New Roman" w:hAnsi="Times New Roman" w:cs="Times New Roman"/>
        </w:rPr>
        <w:t xml:space="preserve">irrevocable – hinges, </w:t>
      </w:r>
      <w:r w:rsidR="00B66AFC">
        <w:rPr>
          <w:rFonts w:ascii="Times New Roman" w:hAnsi="Times New Roman" w:cs="Times New Roman"/>
        </w:rPr>
        <w:t xml:space="preserve">which cannot be revised, </w:t>
      </w:r>
      <w:r w:rsidR="00E62F65">
        <w:rPr>
          <w:rFonts w:ascii="Times New Roman" w:hAnsi="Times New Roman" w:cs="Times New Roman"/>
        </w:rPr>
        <w:t xml:space="preserve">on pain of </w:t>
      </w:r>
      <w:r w:rsidR="00BF3B96">
        <w:rPr>
          <w:rFonts w:ascii="Times New Roman" w:hAnsi="Times New Roman" w:cs="Times New Roman"/>
        </w:rPr>
        <w:t>calling into question Catholicism</w:t>
      </w:r>
      <w:r w:rsidR="00B77149">
        <w:rPr>
          <w:rFonts w:ascii="Times New Roman" w:hAnsi="Times New Roman" w:cs="Times New Roman"/>
        </w:rPr>
        <w:t xml:space="preserve"> itself (if not the very intelligibility of </w:t>
      </w:r>
      <w:r w:rsidR="00E61300">
        <w:rPr>
          <w:rFonts w:ascii="Times New Roman" w:hAnsi="Times New Roman" w:cs="Times New Roman"/>
        </w:rPr>
        <w:t>theistic religions</w:t>
      </w:r>
      <w:r w:rsidR="00B66AFC">
        <w:rPr>
          <w:rFonts w:ascii="Times New Roman" w:hAnsi="Times New Roman" w:cs="Times New Roman"/>
        </w:rPr>
        <w:t xml:space="preserve"> altogether</w:t>
      </w:r>
      <w:r w:rsidR="00E61300">
        <w:rPr>
          <w:rFonts w:ascii="Times New Roman" w:hAnsi="Times New Roman" w:cs="Times New Roman"/>
        </w:rPr>
        <w:t>)</w:t>
      </w:r>
      <w:r w:rsidR="00B77149">
        <w:rPr>
          <w:rFonts w:ascii="Times New Roman" w:hAnsi="Times New Roman" w:cs="Times New Roman"/>
        </w:rPr>
        <w:t xml:space="preserve">; </w:t>
      </w:r>
      <w:r w:rsidR="00E61300">
        <w:rPr>
          <w:rFonts w:ascii="Times New Roman" w:hAnsi="Times New Roman" w:cs="Times New Roman"/>
        </w:rPr>
        <w:t xml:space="preserve">“infallible doctrines” would be </w:t>
      </w:r>
      <w:r w:rsidR="00B66AFC">
        <w:rPr>
          <w:rFonts w:ascii="Times New Roman" w:hAnsi="Times New Roman" w:cs="Times New Roman"/>
        </w:rPr>
        <w:t xml:space="preserve">like </w:t>
      </w:r>
      <w:r w:rsidR="00E61300">
        <w:rPr>
          <w:rFonts w:ascii="Times New Roman" w:hAnsi="Times New Roman" w:cs="Times New Roman"/>
        </w:rPr>
        <w:t xml:space="preserve">de facto hinges, which are subject to revision, if only </w:t>
      </w:r>
      <w:r w:rsidR="004A6F5C">
        <w:rPr>
          <w:rFonts w:ascii="Times New Roman" w:hAnsi="Times New Roman" w:cs="Times New Roman"/>
        </w:rPr>
        <w:t>in exceptional circumstances</w:t>
      </w:r>
      <w:r w:rsidR="00BD5D12">
        <w:rPr>
          <w:rFonts w:ascii="Times New Roman" w:hAnsi="Times New Roman" w:cs="Times New Roman"/>
        </w:rPr>
        <w:t xml:space="preserve">, and due to new, previously unavailable evidence (whether epistemic or </w:t>
      </w:r>
      <w:r w:rsidR="00A86BD1">
        <w:rPr>
          <w:rFonts w:ascii="Times New Roman" w:hAnsi="Times New Roman" w:cs="Times New Roman"/>
        </w:rPr>
        <w:t xml:space="preserve">societal, say); “non-infallible doctrines” and “theological opinions”, in contrast, would </w:t>
      </w:r>
      <w:r w:rsidR="007831C5">
        <w:rPr>
          <w:rFonts w:ascii="Times New Roman" w:hAnsi="Times New Roman" w:cs="Times New Roman"/>
        </w:rPr>
        <w:t xml:space="preserve">amount to more or less evidentially supported “ordinary” (religious) beliefs, which are </w:t>
      </w:r>
      <w:r w:rsidR="000E7075">
        <w:rPr>
          <w:rFonts w:ascii="Times New Roman" w:hAnsi="Times New Roman" w:cs="Times New Roman"/>
        </w:rPr>
        <w:t xml:space="preserve">more or less routinely </w:t>
      </w:r>
      <w:r w:rsidR="007831C5">
        <w:rPr>
          <w:rFonts w:ascii="Times New Roman" w:hAnsi="Times New Roman" w:cs="Times New Roman"/>
        </w:rPr>
        <w:t xml:space="preserve">revisable </w:t>
      </w:r>
      <w:r w:rsidR="000E7075">
        <w:rPr>
          <w:rFonts w:ascii="Times New Roman" w:hAnsi="Times New Roman" w:cs="Times New Roman"/>
        </w:rPr>
        <w:t>on the basis of evidence.</w:t>
      </w:r>
    </w:p>
    <w:p w14:paraId="1FAF8E62" w14:textId="77777777" w:rsidR="00F73E7F" w:rsidRPr="00AE5990" w:rsidRDefault="00F73E7F" w:rsidP="00575342">
      <w:pPr>
        <w:spacing w:line="360" w:lineRule="auto"/>
        <w:jc w:val="both"/>
        <w:rPr>
          <w:rFonts w:ascii="Times New Roman" w:hAnsi="Times New Roman" w:cs="Times New Roman"/>
        </w:rPr>
      </w:pPr>
    </w:p>
    <w:p w14:paraId="5C11B8C1" w14:textId="48A35BBE" w:rsidR="00AE5990" w:rsidRPr="00436E6F" w:rsidRDefault="00436E6F" w:rsidP="00672B24">
      <w:pPr>
        <w:pStyle w:val="ListParagraph"/>
        <w:numPr>
          <w:ilvl w:val="0"/>
          <w:numId w:val="1"/>
        </w:numPr>
        <w:spacing w:after="240" w:line="360" w:lineRule="auto"/>
        <w:jc w:val="both"/>
        <w:rPr>
          <w:rFonts w:ascii="Times New Roman" w:hAnsi="Times New Roman" w:cs="Times New Roman"/>
          <w:b/>
          <w:bCs/>
        </w:rPr>
      </w:pPr>
      <w:r w:rsidRPr="00436E6F">
        <w:rPr>
          <w:rFonts w:ascii="Times New Roman" w:hAnsi="Times New Roman" w:cs="Times New Roman"/>
          <w:b/>
          <w:bCs/>
        </w:rPr>
        <w:t>Conclusions</w:t>
      </w:r>
    </w:p>
    <w:p w14:paraId="7A21144A" w14:textId="78A11EF0" w:rsidR="004E0F81" w:rsidRPr="00FC7854" w:rsidRDefault="00A43594" w:rsidP="004E0F81">
      <w:pPr>
        <w:spacing w:line="360" w:lineRule="auto"/>
        <w:jc w:val="both"/>
        <w:rPr>
          <w:rFonts w:ascii="Times New Roman" w:hAnsi="Times New Roman" w:cs="Times New Roman"/>
        </w:rPr>
      </w:pPr>
      <w:r>
        <w:rPr>
          <w:rFonts w:ascii="Times New Roman" w:hAnsi="Times New Roman" w:cs="Times New Roman"/>
        </w:rPr>
        <w:lastRenderedPageBreak/>
        <w:t xml:space="preserve">By applying a hinge-epistemology framework to the case of religious </w:t>
      </w:r>
      <w:r w:rsidR="002837C9">
        <w:rPr>
          <w:rFonts w:ascii="Times New Roman" w:hAnsi="Times New Roman" w:cs="Times New Roman"/>
        </w:rPr>
        <w:t>disagreement</w:t>
      </w:r>
      <w:r>
        <w:rPr>
          <w:rFonts w:ascii="Times New Roman" w:hAnsi="Times New Roman" w:cs="Times New Roman"/>
        </w:rPr>
        <w:t xml:space="preserve">, we have been able to identify three main kinds of </w:t>
      </w:r>
      <w:r w:rsidR="002837C9">
        <w:rPr>
          <w:rFonts w:ascii="Times New Roman" w:hAnsi="Times New Roman" w:cs="Times New Roman"/>
        </w:rPr>
        <w:t>it: intra-theoretic, inter-theoretic and deep</w:t>
      </w:r>
      <w:r w:rsidR="00097A30">
        <w:rPr>
          <w:rFonts w:ascii="Times New Roman" w:hAnsi="Times New Roman" w:cs="Times New Roman"/>
        </w:rPr>
        <w:t xml:space="preserve">. We have seen how only the first </w:t>
      </w:r>
      <w:r w:rsidR="004E61C0">
        <w:rPr>
          <w:rFonts w:ascii="Times New Roman" w:hAnsi="Times New Roman" w:cs="Times New Roman"/>
        </w:rPr>
        <w:t xml:space="preserve">kind of religious disagreement </w:t>
      </w:r>
      <w:r w:rsidR="00097A30">
        <w:rPr>
          <w:rFonts w:ascii="Times New Roman" w:hAnsi="Times New Roman" w:cs="Times New Roman"/>
        </w:rPr>
        <w:t>is liable to rational resolution, at least in principle</w:t>
      </w:r>
      <w:r w:rsidR="00E24ECA">
        <w:rPr>
          <w:rFonts w:ascii="Times New Roman" w:hAnsi="Times New Roman" w:cs="Times New Roman"/>
        </w:rPr>
        <w:t>.</w:t>
      </w:r>
      <w:r w:rsidR="005A5152">
        <w:rPr>
          <w:rFonts w:ascii="Times New Roman" w:hAnsi="Times New Roman" w:cs="Times New Roman"/>
        </w:rPr>
        <w:t xml:space="preserve"> </w:t>
      </w:r>
      <w:r w:rsidR="00E24ECA">
        <w:rPr>
          <w:rFonts w:ascii="Times New Roman" w:hAnsi="Times New Roman" w:cs="Times New Roman"/>
        </w:rPr>
        <w:t>By contrast,</w:t>
      </w:r>
      <w:r w:rsidR="005A5152">
        <w:rPr>
          <w:rFonts w:ascii="Times New Roman" w:hAnsi="Times New Roman" w:cs="Times New Roman"/>
        </w:rPr>
        <w:t xml:space="preserve"> the other two aren’t</w:t>
      </w:r>
      <w:r w:rsidR="001C4180">
        <w:rPr>
          <w:rFonts w:ascii="Times New Roman" w:hAnsi="Times New Roman" w:cs="Times New Roman"/>
        </w:rPr>
        <w:t xml:space="preserve">, </w:t>
      </w:r>
      <w:r w:rsidR="005A5152">
        <w:rPr>
          <w:rFonts w:ascii="Times New Roman" w:hAnsi="Times New Roman" w:cs="Times New Roman"/>
        </w:rPr>
        <w:t xml:space="preserve">either because they don’t share the fundamental hinge – “God exists” </w:t>
      </w:r>
      <w:r w:rsidR="00002F92">
        <w:rPr>
          <w:rFonts w:ascii="Times New Roman" w:hAnsi="Times New Roman" w:cs="Times New Roman"/>
        </w:rPr>
        <w:t xml:space="preserve">– </w:t>
      </w:r>
      <w:r w:rsidR="005A02DC">
        <w:rPr>
          <w:rFonts w:ascii="Times New Roman" w:hAnsi="Times New Roman" w:cs="Times New Roman"/>
        </w:rPr>
        <w:t xml:space="preserve">and the questions and evidence they bring to bear onto </w:t>
      </w:r>
      <w:r w:rsidR="00C2227C">
        <w:rPr>
          <w:rFonts w:ascii="Times New Roman" w:hAnsi="Times New Roman" w:cs="Times New Roman"/>
        </w:rPr>
        <w:t>reality are mutually exclusive and ultimately question-begging against the opponent</w:t>
      </w:r>
      <w:r w:rsidR="00002F92">
        <w:rPr>
          <w:rFonts w:ascii="Times New Roman" w:hAnsi="Times New Roman" w:cs="Times New Roman"/>
        </w:rPr>
        <w:t>;</w:t>
      </w:r>
      <w:r w:rsidR="005A5152">
        <w:rPr>
          <w:rFonts w:ascii="Times New Roman" w:hAnsi="Times New Roman" w:cs="Times New Roman"/>
        </w:rPr>
        <w:t xml:space="preserve"> or</w:t>
      </w:r>
      <w:r w:rsidR="00002F92">
        <w:rPr>
          <w:rFonts w:ascii="Times New Roman" w:hAnsi="Times New Roman" w:cs="Times New Roman"/>
        </w:rPr>
        <w:t xml:space="preserve"> else,</w:t>
      </w:r>
      <w:r w:rsidR="005A5152">
        <w:rPr>
          <w:rFonts w:ascii="Times New Roman" w:hAnsi="Times New Roman" w:cs="Times New Roman"/>
        </w:rPr>
        <w:t xml:space="preserve"> because </w:t>
      </w:r>
      <w:r w:rsidR="00002F92">
        <w:rPr>
          <w:rFonts w:ascii="Times New Roman" w:hAnsi="Times New Roman" w:cs="Times New Roman"/>
        </w:rPr>
        <w:t xml:space="preserve">while agreeing on God’s existence, </w:t>
      </w:r>
      <w:r w:rsidR="005A5152">
        <w:rPr>
          <w:rFonts w:ascii="Times New Roman" w:hAnsi="Times New Roman" w:cs="Times New Roman"/>
        </w:rPr>
        <w:t xml:space="preserve">they disagree over the source of religious normative authority – e.g. the Bible </w:t>
      </w:r>
      <w:r w:rsidR="005A5152" w:rsidRPr="004E61C0">
        <w:rPr>
          <w:rFonts w:ascii="Times New Roman" w:hAnsi="Times New Roman" w:cs="Times New Roman"/>
          <w:i/>
          <w:iCs/>
        </w:rPr>
        <w:t>contra</w:t>
      </w:r>
      <w:r w:rsidR="005A5152">
        <w:rPr>
          <w:rFonts w:ascii="Times New Roman" w:hAnsi="Times New Roman" w:cs="Times New Roman"/>
        </w:rPr>
        <w:t xml:space="preserve"> the Qu</w:t>
      </w:r>
      <w:r w:rsidR="004E61C0">
        <w:rPr>
          <w:rFonts w:ascii="Times New Roman" w:hAnsi="Times New Roman" w:cs="Times New Roman"/>
        </w:rPr>
        <w:t>r’an.</w:t>
      </w:r>
      <w:r w:rsidR="005A02DC">
        <w:rPr>
          <w:rFonts w:ascii="Times New Roman" w:hAnsi="Times New Roman" w:cs="Times New Roman"/>
        </w:rPr>
        <w:t xml:space="preserve"> We have seen </w:t>
      </w:r>
      <w:r w:rsidR="00E24ECA">
        <w:rPr>
          <w:rFonts w:ascii="Times New Roman" w:hAnsi="Times New Roman" w:cs="Times New Roman"/>
        </w:rPr>
        <w:t xml:space="preserve">how, in this </w:t>
      </w:r>
      <w:r w:rsidR="00E957FE">
        <w:rPr>
          <w:rFonts w:ascii="Times New Roman" w:hAnsi="Times New Roman" w:cs="Times New Roman"/>
        </w:rPr>
        <w:t xml:space="preserve">last case of inter-religious </w:t>
      </w:r>
      <w:r w:rsidR="00A604FF">
        <w:rPr>
          <w:rFonts w:ascii="Times New Roman" w:hAnsi="Times New Roman" w:cs="Times New Roman"/>
        </w:rPr>
        <w:t>disagreement</w:t>
      </w:r>
      <w:r w:rsidR="00E957FE">
        <w:rPr>
          <w:rFonts w:ascii="Times New Roman" w:hAnsi="Times New Roman" w:cs="Times New Roman"/>
        </w:rPr>
        <w:t xml:space="preserve">, a hinge-theoretic framework can make sense of the ineliminable role of </w:t>
      </w:r>
      <w:r w:rsidR="0002502B">
        <w:rPr>
          <w:rFonts w:ascii="Times New Roman" w:hAnsi="Times New Roman" w:cs="Times New Roman"/>
        </w:rPr>
        <w:t>tradition</w:t>
      </w:r>
      <w:r w:rsidR="00E957FE">
        <w:rPr>
          <w:rFonts w:ascii="Times New Roman" w:hAnsi="Times New Roman" w:cs="Times New Roman"/>
        </w:rPr>
        <w:t xml:space="preserve"> in the transmission </w:t>
      </w:r>
      <w:r w:rsidR="004D03AC">
        <w:rPr>
          <w:rFonts w:ascii="Times New Roman" w:hAnsi="Times New Roman" w:cs="Times New Roman"/>
        </w:rPr>
        <w:t xml:space="preserve">and maintenance </w:t>
      </w:r>
      <w:r w:rsidR="00E957FE">
        <w:rPr>
          <w:rFonts w:ascii="Times New Roman" w:hAnsi="Times New Roman" w:cs="Times New Roman"/>
        </w:rPr>
        <w:t>of a specific religious creed</w:t>
      </w:r>
      <w:r w:rsidR="0091543A">
        <w:rPr>
          <w:rFonts w:ascii="Times New Roman" w:hAnsi="Times New Roman" w:cs="Times New Roman"/>
        </w:rPr>
        <w:t xml:space="preserve">. Conversely, we have seen how in this case, like in the one of deep disagreement between religious believers and non-believers, </w:t>
      </w:r>
      <w:r w:rsidR="00825663">
        <w:rPr>
          <w:rFonts w:ascii="Times New Roman" w:hAnsi="Times New Roman" w:cs="Times New Roman"/>
        </w:rPr>
        <w:t xml:space="preserve">only conversion can bring about </w:t>
      </w:r>
      <w:r w:rsidR="005A0A53">
        <w:rPr>
          <w:rFonts w:ascii="Times New Roman" w:hAnsi="Times New Roman" w:cs="Times New Roman"/>
        </w:rPr>
        <w:t>a</w:t>
      </w:r>
      <w:r w:rsidR="00825663">
        <w:rPr>
          <w:rFonts w:ascii="Times New Roman" w:hAnsi="Times New Roman" w:cs="Times New Roman"/>
        </w:rPr>
        <w:t xml:space="preserve"> change in view</w:t>
      </w:r>
      <w:r w:rsidR="005A0A53">
        <w:rPr>
          <w:rFonts w:ascii="Times New Roman" w:hAnsi="Times New Roman" w:cs="Times New Roman"/>
        </w:rPr>
        <w:t xml:space="preserve">, with the characteristic phenomenology of betrayal of the </w:t>
      </w:r>
      <w:r w:rsidR="002A59E6">
        <w:rPr>
          <w:rFonts w:ascii="Times New Roman" w:hAnsi="Times New Roman" w:cs="Times New Roman"/>
        </w:rPr>
        <w:t>original religious community which had imparted one’s initial religion and of allegiance to a new one</w:t>
      </w:r>
      <w:r w:rsidR="00825663" w:rsidRPr="00FC7854">
        <w:rPr>
          <w:rFonts w:ascii="Times New Roman" w:hAnsi="Times New Roman" w:cs="Times New Roman"/>
        </w:rPr>
        <w:t xml:space="preserve">. </w:t>
      </w:r>
      <w:r w:rsidR="00FC7854" w:rsidRPr="00FC7854">
        <w:rPr>
          <w:rFonts w:ascii="Times New Roman" w:hAnsi="Times New Roman" w:cs="Times New Roman"/>
        </w:rPr>
        <w:t>Additionally</w:t>
      </w:r>
      <w:r w:rsidR="004E0F81" w:rsidRPr="00FC7854">
        <w:rPr>
          <w:rFonts w:ascii="Times New Roman" w:hAnsi="Times New Roman" w:cs="Times New Roman"/>
        </w:rPr>
        <w:t xml:space="preserve">, we have briefly examined how a hinge-theoretic framework can clarify the distinction between religious dogma, </w:t>
      </w:r>
      <w:r w:rsidR="00FC7854">
        <w:rPr>
          <w:rFonts w:ascii="Times New Roman" w:hAnsi="Times New Roman" w:cs="Times New Roman"/>
        </w:rPr>
        <w:t>“</w:t>
      </w:r>
      <w:r w:rsidR="004E0F81" w:rsidRPr="00FC7854">
        <w:rPr>
          <w:rFonts w:ascii="Times New Roman" w:hAnsi="Times New Roman" w:cs="Times New Roman"/>
        </w:rPr>
        <w:t>infallible</w:t>
      </w:r>
      <w:r w:rsidR="00FC7854">
        <w:rPr>
          <w:rFonts w:ascii="Times New Roman" w:hAnsi="Times New Roman" w:cs="Times New Roman"/>
        </w:rPr>
        <w:t>”</w:t>
      </w:r>
      <w:r w:rsidR="004E0F81" w:rsidRPr="00FC7854">
        <w:rPr>
          <w:rFonts w:ascii="Times New Roman" w:hAnsi="Times New Roman" w:cs="Times New Roman"/>
        </w:rPr>
        <w:t xml:space="preserve"> and </w:t>
      </w:r>
      <w:r w:rsidR="00FC7854">
        <w:rPr>
          <w:rFonts w:ascii="Times New Roman" w:hAnsi="Times New Roman" w:cs="Times New Roman"/>
        </w:rPr>
        <w:t>“</w:t>
      </w:r>
      <w:r w:rsidR="004E0F81" w:rsidRPr="00FC7854">
        <w:rPr>
          <w:rFonts w:ascii="Times New Roman" w:hAnsi="Times New Roman" w:cs="Times New Roman"/>
        </w:rPr>
        <w:t>infallible doctrines,</w:t>
      </w:r>
      <w:r w:rsidR="00FC7854">
        <w:rPr>
          <w:rFonts w:ascii="Times New Roman" w:hAnsi="Times New Roman" w:cs="Times New Roman"/>
        </w:rPr>
        <w:t>”</w:t>
      </w:r>
      <w:r w:rsidR="004E0F81" w:rsidRPr="00FC7854">
        <w:rPr>
          <w:rFonts w:ascii="Times New Roman" w:hAnsi="Times New Roman" w:cs="Times New Roman"/>
        </w:rPr>
        <w:t xml:space="preserve"> and </w:t>
      </w:r>
      <w:r w:rsidR="00FC7854">
        <w:rPr>
          <w:rFonts w:ascii="Times New Roman" w:hAnsi="Times New Roman" w:cs="Times New Roman"/>
        </w:rPr>
        <w:t>“</w:t>
      </w:r>
      <w:r w:rsidR="004E0F81" w:rsidRPr="00FC7854">
        <w:rPr>
          <w:rFonts w:ascii="Times New Roman" w:hAnsi="Times New Roman" w:cs="Times New Roman"/>
        </w:rPr>
        <w:t>theological opinions.</w:t>
      </w:r>
      <w:r w:rsidR="00FC7854">
        <w:rPr>
          <w:rFonts w:ascii="Times New Roman" w:hAnsi="Times New Roman" w:cs="Times New Roman"/>
        </w:rPr>
        <w:t>”</w:t>
      </w:r>
      <w:r w:rsidR="004E0F81" w:rsidRPr="00FC7854">
        <w:rPr>
          <w:rFonts w:ascii="Times New Roman" w:hAnsi="Times New Roman" w:cs="Times New Roman"/>
        </w:rPr>
        <w:t xml:space="preserve"> </w:t>
      </w:r>
      <w:r w:rsidR="00FC7854" w:rsidRPr="00FC7854">
        <w:rPr>
          <w:rFonts w:ascii="Times New Roman" w:hAnsi="Times New Roman" w:cs="Times New Roman"/>
        </w:rPr>
        <w:t>Finally</w:t>
      </w:r>
      <w:r w:rsidR="004E0F81" w:rsidRPr="00FC7854">
        <w:rPr>
          <w:rFonts w:ascii="Times New Roman" w:hAnsi="Times New Roman" w:cs="Times New Roman"/>
        </w:rPr>
        <w:t xml:space="preserve">, we have explored the role of faith—understood as </w:t>
      </w:r>
      <w:r w:rsidR="00FC7854">
        <w:rPr>
          <w:rFonts w:ascii="Times New Roman" w:hAnsi="Times New Roman" w:cs="Times New Roman"/>
        </w:rPr>
        <w:t>“</w:t>
      </w:r>
      <w:r w:rsidR="004E0F81" w:rsidRPr="00FC7854">
        <w:rPr>
          <w:rFonts w:ascii="Times New Roman" w:hAnsi="Times New Roman" w:cs="Times New Roman"/>
        </w:rPr>
        <w:t>hinge trust,</w:t>
      </w:r>
      <w:r w:rsidR="00FC7854">
        <w:rPr>
          <w:rFonts w:ascii="Times New Roman" w:hAnsi="Times New Roman" w:cs="Times New Roman"/>
        </w:rPr>
        <w:t>”</w:t>
      </w:r>
      <w:r w:rsidR="004E0F81" w:rsidRPr="00FC7854">
        <w:rPr>
          <w:rFonts w:ascii="Times New Roman" w:hAnsi="Times New Roman" w:cs="Times New Roman"/>
        </w:rPr>
        <w:t xml:space="preserve"> or an unquestioning acceptance—that practitioners exhibit toward the fundamental tenets of their religion and the community from which they have inherited their beliefs or to which they pledge allegiance upon conversion.</w:t>
      </w:r>
    </w:p>
    <w:p w14:paraId="42ED42AF" w14:textId="62145A2F" w:rsidR="008806B7" w:rsidRDefault="008806B7" w:rsidP="004E0F81">
      <w:pPr>
        <w:spacing w:line="360" w:lineRule="auto"/>
        <w:jc w:val="both"/>
        <w:rPr>
          <w:rFonts w:ascii="Times New Roman" w:hAnsi="Times New Roman" w:cs="Times New Roman"/>
        </w:rPr>
      </w:pPr>
    </w:p>
    <w:p w14:paraId="6D8BDF56" w14:textId="3D34F14E" w:rsidR="00A43A8B" w:rsidRPr="007C63B8" w:rsidRDefault="00A43A8B" w:rsidP="00883029">
      <w:pPr>
        <w:spacing w:after="120" w:line="360" w:lineRule="auto"/>
        <w:jc w:val="both"/>
        <w:rPr>
          <w:rFonts w:ascii="Times New Roman" w:hAnsi="Times New Roman" w:cs="Times New Roman"/>
          <w:b/>
          <w:bCs/>
          <w:lang w:val="fr-FR"/>
        </w:rPr>
      </w:pPr>
      <w:proofErr w:type="spellStart"/>
      <w:r w:rsidRPr="007C63B8">
        <w:rPr>
          <w:rFonts w:ascii="Times New Roman" w:hAnsi="Times New Roman" w:cs="Times New Roman"/>
          <w:b/>
          <w:bCs/>
          <w:lang w:val="fr-FR"/>
        </w:rPr>
        <w:t>References</w:t>
      </w:r>
      <w:proofErr w:type="spellEnd"/>
    </w:p>
    <w:p w14:paraId="02D53754" w14:textId="77777777" w:rsidR="00B26E5B" w:rsidRDefault="00B26E5B" w:rsidP="00B26E5B">
      <w:pPr>
        <w:widowControl w:val="0"/>
        <w:autoSpaceDE w:val="0"/>
        <w:autoSpaceDN w:val="0"/>
        <w:adjustRightInd w:val="0"/>
        <w:ind w:left="720" w:hanging="720"/>
        <w:contextualSpacing/>
        <w:jc w:val="both"/>
        <w:rPr>
          <w:rFonts w:ascii="Times New Roman" w:hAnsi="Times New Roman"/>
          <w:lang w:val="fr-FR"/>
        </w:rPr>
      </w:pPr>
      <w:r w:rsidRPr="00B26E5B">
        <w:rPr>
          <w:rFonts w:ascii="Times New Roman" w:hAnsi="Times New Roman"/>
          <w:lang w:val="fr-FR"/>
        </w:rPr>
        <w:t>Carnap, R. 1950 “</w:t>
      </w:r>
      <w:proofErr w:type="spellStart"/>
      <w:r w:rsidRPr="00B26E5B">
        <w:rPr>
          <w:rFonts w:ascii="Times New Roman" w:hAnsi="Times New Roman"/>
          <w:lang w:val="fr-FR"/>
        </w:rPr>
        <w:t>Empiricism</w:t>
      </w:r>
      <w:proofErr w:type="spellEnd"/>
      <w:r w:rsidRPr="00B26E5B">
        <w:rPr>
          <w:rFonts w:ascii="Times New Roman" w:hAnsi="Times New Roman"/>
          <w:lang w:val="fr-FR"/>
        </w:rPr>
        <w:t xml:space="preserve">, </w:t>
      </w:r>
      <w:proofErr w:type="spellStart"/>
      <w:r w:rsidRPr="00B26E5B">
        <w:rPr>
          <w:rFonts w:ascii="Times New Roman" w:hAnsi="Times New Roman"/>
          <w:lang w:val="fr-FR"/>
        </w:rPr>
        <w:t>semantics</w:t>
      </w:r>
      <w:proofErr w:type="spellEnd"/>
      <w:r w:rsidRPr="00B26E5B">
        <w:rPr>
          <w:rFonts w:ascii="Times New Roman" w:hAnsi="Times New Roman"/>
          <w:lang w:val="fr-FR"/>
        </w:rPr>
        <w:t xml:space="preserve"> and </w:t>
      </w:r>
      <w:proofErr w:type="spellStart"/>
      <w:r w:rsidRPr="00B26E5B">
        <w:rPr>
          <w:rFonts w:ascii="Times New Roman" w:hAnsi="Times New Roman"/>
          <w:lang w:val="fr-FR"/>
        </w:rPr>
        <w:t>ontology</w:t>
      </w:r>
      <w:proofErr w:type="spellEnd"/>
      <w:r w:rsidRPr="00B26E5B">
        <w:rPr>
          <w:rFonts w:ascii="Times New Roman" w:hAnsi="Times New Roman"/>
          <w:lang w:val="fr-FR"/>
        </w:rPr>
        <w:t xml:space="preserve">”, </w:t>
      </w:r>
      <w:r w:rsidRPr="00B26E5B">
        <w:rPr>
          <w:rFonts w:ascii="Times New Roman" w:hAnsi="Times New Roman"/>
          <w:i/>
          <w:iCs/>
          <w:lang w:val="fr-FR"/>
        </w:rPr>
        <w:t>Revue Internationale de Philosophie</w:t>
      </w:r>
      <w:r w:rsidRPr="00B26E5B">
        <w:rPr>
          <w:rFonts w:ascii="Times New Roman" w:hAnsi="Times New Roman"/>
          <w:lang w:val="fr-FR"/>
        </w:rPr>
        <w:t xml:space="preserve"> 4</w:t>
      </w:r>
      <w:r>
        <w:rPr>
          <w:rFonts w:ascii="Times New Roman" w:hAnsi="Times New Roman"/>
          <w:lang w:val="fr-FR"/>
        </w:rPr>
        <w:t>/</w:t>
      </w:r>
      <w:proofErr w:type="gramStart"/>
      <w:r w:rsidRPr="00B26E5B">
        <w:rPr>
          <w:rFonts w:ascii="Times New Roman" w:hAnsi="Times New Roman"/>
          <w:lang w:val="fr-FR"/>
        </w:rPr>
        <w:t>11:</w:t>
      </w:r>
      <w:proofErr w:type="gramEnd"/>
      <w:r w:rsidRPr="00B26E5B">
        <w:rPr>
          <w:rFonts w:ascii="Times New Roman" w:hAnsi="Times New Roman"/>
          <w:lang w:val="fr-FR"/>
        </w:rPr>
        <w:t xml:space="preserve"> 20-40. </w:t>
      </w:r>
    </w:p>
    <w:p w14:paraId="5CB2EB27" w14:textId="36194768" w:rsidR="00127C0F" w:rsidRDefault="00127C0F" w:rsidP="00A8368B">
      <w:pPr>
        <w:widowControl w:val="0"/>
        <w:autoSpaceDE w:val="0"/>
        <w:autoSpaceDN w:val="0"/>
        <w:adjustRightInd w:val="0"/>
        <w:contextualSpacing/>
        <w:jc w:val="both"/>
        <w:rPr>
          <w:rFonts w:ascii="Times New Roman" w:hAnsi="Times New Roman"/>
          <w:lang w:val="it-IT"/>
        </w:rPr>
      </w:pPr>
      <w:r w:rsidRPr="00725B75">
        <w:rPr>
          <w:rFonts w:ascii="Times New Roman" w:hAnsi="Times New Roman"/>
          <w:lang w:val="it-IT"/>
        </w:rPr>
        <w:t xml:space="preserve">Coliva, A. 2004 </w:t>
      </w:r>
      <w:r w:rsidRPr="00725B75">
        <w:rPr>
          <w:rFonts w:ascii="Times New Roman" w:hAnsi="Times New Roman"/>
          <w:i/>
          <w:iCs/>
          <w:lang w:val="it-IT"/>
        </w:rPr>
        <w:t xml:space="preserve">Concetti. </w:t>
      </w:r>
      <w:r w:rsidRPr="00127C0F">
        <w:rPr>
          <w:rFonts w:ascii="Times New Roman" w:hAnsi="Times New Roman"/>
          <w:i/>
          <w:iCs/>
          <w:lang w:val="it-IT"/>
        </w:rPr>
        <w:t>Teorie ed esercizi</w:t>
      </w:r>
      <w:r w:rsidRPr="00127C0F">
        <w:rPr>
          <w:rFonts w:ascii="Times New Roman" w:hAnsi="Times New Roman"/>
          <w:lang w:val="it-IT"/>
        </w:rPr>
        <w:t>, Roma: Carocci.</w:t>
      </w:r>
    </w:p>
    <w:p w14:paraId="6E56DEAD" w14:textId="01592C8F" w:rsidR="00127C0F" w:rsidRDefault="00127C0F" w:rsidP="00760655">
      <w:pPr>
        <w:widowControl w:val="0"/>
        <w:autoSpaceDE w:val="0"/>
        <w:autoSpaceDN w:val="0"/>
        <w:adjustRightInd w:val="0"/>
        <w:ind w:left="720" w:hanging="720"/>
        <w:contextualSpacing/>
        <w:jc w:val="both"/>
        <w:rPr>
          <w:rFonts w:ascii="Times New Roman" w:hAnsi="Times New Roman"/>
        </w:rPr>
      </w:pPr>
      <w:r w:rsidRPr="005D109D">
        <w:rPr>
          <w:rFonts w:ascii="Times New Roman" w:hAnsi="Times New Roman"/>
        </w:rPr>
        <w:t xml:space="preserve">Coliva, A. </w:t>
      </w:r>
      <w:r w:rsidR="005D109D" w:rsidRPr="005D109D">
        <w:rPr>
          <w:rFonts w:ascii="Times New Roman" w:hAnsi="Times New Roman"/>
        </w:rPr>
        <w:t>2010 “Was Wittgenstein a</w:t>
      </w:r>
      <w:r w:rsidR="005D109D">
        <w:rPr>
          <w:rFonts w:ascii="Times New Roman" w:hAnsi="Times New Roman"/>
        </w:rPr>
        <w:t xml:space="preserve">n epistemic relativist?”, </w:t>
      </w:r>
      <w:r w:rsidR="005D109D" w:rsidRPr="005D109D">
        <w:rPr>
          <w:rFonts w:ascii="Times New Roman" w:hAnsi="Times New Roman"/>
          <w:i/>
          <w:iCs/>
        </w:rPr>
        <w:t>Philosophical Investigations</w:t>
      </w:r>
      <w:r w:rsidR="005D109D">
        <w:rPr>
          <w:rFonts w:ascii="Times New Roman" w:hAnsi="Times New Roman"/>
        </w:rPr>
        <w:t xml:space="preserve"> </w:t>
      </w:r>
      <w:r w:rsidR="00760655">
        <w:rPr>
          <w:rFonts w:ascii="Times New Roman" w:hAnsi="Times New Roman"/>
        </w:rPr>
        <w:t>33/1: 1-23.</w:t>
      </w:r>
    </w:p>
    <w:p w14:paraId="3F6A97BD" w14:textId="56278C05" w:rsidR="005D109D" w:rsidRDefault="005D109D" w:rsidP="00A8368B">
      <w:pPr>
        <w:widowControl w:val="0"/>
        <w:autoSpaceDE w:val="0"/>
        <w:autoSpaceDN w:val="0"/>
        <w:adjustRightInd w:val="0"/>
        <w:contextualSpacing/>
        <w:jc w:val="both"/>
        <w:rPr>
          <w:rFonts w:ascii="Times New Roman" w:hAnsi="Times New Roman"/>
        </w:rPr>
      </w:pPr>
      <w:r>
        <w:rPr>
          <w:rFonts w:ascii="Times New Roman" w:hAnsi="Times New Roman"/>
        </w:rPr>
        <w:t xml:space="preserve">Coliva, A. 2015 </w:t>
      </w:r>
      <w:r w:rsidRPr="005D109D">
        <w:rPr>
          <w:rFonts w:ascii="Times New Roman" w:hAnsi="Times New Roman"/>
          <w:i/>
          <w:iCs/>
        </w:rPr>
        <w:t>Extended Rationality. A Hinge Epistemology</w:t>
      </w:r>
      <w:r>
        <w:rPr>
          <w:rFonts w:ascii="Times New Roman" w:hAnsi="Times New Roman"/>
        </w:rPr>
        <w:t>, London: Palgrave.</w:t>
      </w:r>
    </w:p>
    <w:p w14:paraId="3EC564BF" w14:textId="014529E8" w:rsidR="005D109D" w:rsidRDefault="005D109D" w:rsidP="004E6557">
      <w:pPr>
        <w:widowControl w:val="0"/>
        <w:autoSpaceDE w:val="0"/>
        <w:autoSpaceDN w:val="0"/>
        <w:adjustRightInd w:val="0"/>
        <w:ind w:left="720" w:hanging="720"/>
        <w:contextualSpacing/>
        <w:jc w:val="both"/>
        <w:rPr>
          <w:rFonts w:ascii="Times New Roman" w:hAnsi="Times New Roman"/>
        </w:rPr>
      </w:pPr>
      <w:r>
        <w:rPr>
          <w:rFonts w:ascii="Times New Roman" w:hAnsi="Times New Roman"/>
        </w:rPr>
        <w:t xml:space="preserve">Coliva, A. 2022 </w:t>
      </w:r>
      <w:r w:rsidRPr="004E6557">
        <w:rPr>
          <w:rFonts w:ascii="Times New Roman" w:hAnsi="Times New Roman"/>
          <w:i/>
          <w:iCs/>
        </w:rPr>
        <w:t>Wittgenstein Rehinged</w:t>
      </w:r>
      <w:r w:rsidR="004E6557" w:rsidRPr="004E6557">
        <w:rPr>
          <w:rFonts w:ascii="Times New Roman" w:hAnsi="Times New Roman"/>
          <w:i/>
          <w:iCs/>
        </w:rPr>
        <w:t>. The Significance of</w:t>
      </w:r>
      <w:r w:rsidR="004E6557">
        <w:rPr>
          <w:rFonts w:ascii="Times New Roman" w:hAnsi="Times New Roman"/>
        </w:rPr>
        <w:t xml:space="preserve"> On Certainty </w:t>
      </w:r>
      <w:r w:rsidR="004E6557" w:rsidRPr="004E6557">
        <w:rPr>
          <w:rFonts w:ascii="Times New Roman" w:hAnsi="Times New Roman"/>
          <w:i/>
          <w:iCs/>
        </w:rPr>
        <w:t>for Contemporary Epistemology</w:t>
      </w:r>
      <w:r w:rsidR="004E6557">
        <w:rPr>
          <w:rFonts w:ascii="Times New Roman" w:hAnsi="Times New Roman"/>
        </w:rPr>
        <w:t>, London: Anthem.</w:t>
      </w:r>
    </w:p>
    <w:p w14:paraId="05529D02" w14:textId="3240C2A3" w:rsidR="004E6557" w:rsidRPr="00774801" w:rsidRDefault="00B34182" w:rsidP="004E6557">
      <w:pPr>
        <w:widowControl w:val="0"/>
        <w:autoSpaceDE w:val="0"/>
        <w:autoSpaceDN w:val="0"/>
        <w:adjustRightInd w:val="0"/>
        <w:ind w:left="720" w:hanging="720"/>
        <w:contextualSpacing/>
        <w:jc w:val="both"/>
        <w:rPr>
          <w:rFonts w:ascii="Times New Roman" w:hAnsi="Times New Roman"/>
        </w:rPr>
      </w:pPr>
      <w:r w:rsidRPr="00774801">
        <w:rPr>
          <w:rFonts w:ascii="Times New Roman" w:hAnsi="Times New Roman"/>
        </w:rPr>
        <w:t>Coliva, A. 2025</w:t>
      </w:r>
      <w:r w:rsidR="005067B2">
        <w:rPr>
          <w:rFonts w:ascii="Times New Roman" w:hAnsi="Times New Roman"/>
        </w:rPr>
        <w:t>a</w:t>
      </w:r>
      <w:r w:rsidR="001E007F" w:rsidRPr="00774801">
        <w:rPr>
          <w:rFonts w:ascii="Times New Roman" w:hAnsi="Times New Roman"/>
        </w:rPr>
        <w:t xml:space="preserve"> “Wittgenstein, Newman and Quasi-fideism”, in </w:t>
      </w:r>
      <w:r w:rsidR="00774801" w:rsidRPr="00774801">
        <w:rPr>
          <w:rFonts w:ascii="Times New Roman" w:hAnsi="Times New Roman"/>
        </w:rPr>
        <w:t>U. Arn</w:t>
      </w:r>
      <w:r w:rsidR="00774801">
        <w:rPr>
          <w:rFonts w:ascii="Times New Roman" w:hAnsi="Times New Roman"/>
        </w:rPr>
        <w:t xml:space="preserve">swald (ed.) </w:t>
      </w:r>
      <w:r w:rsidR="00360D2B" w:rsidRPr="00360D2B">
        <w:rPr>
          <w:rFonts w:ascii="Times New Roman" w:hAnsi="Times New Roman"/>
          <w:i/>
          <w:iCs/>
        </w:rPr>
        <w:t>The Nature of Religious Belief in Wittgenstein</w:t>
      </w:r>
      <w:r w:rsidR="00360D2B">
        <w:rPr>
          <w:rFonts w:ascii="Times New Roman" w:hAnsi="Times New Roman"/>
        </w:rPr>
        <w:t>, …</w:t>
      </w:r>
    </w:p>
    <w:p w14:paraId="6A59C2DE" w14:textId="02A90297" w:rsidR="00B34182" w:rsidRDefault="00B34182" w:rsidP="004E6557">
      <w:pPr>
        <w:widowControl w:val="0"/>
        <w:autoSpaceDE w:val="0"/>
        <w:autoSpaceDN w:val="0"/>
        <w:adjustRightInd w:val="0"/>
        <w:ind w:left="720" w:hanging="720"/>
        <w:contextualSpacing/>
        <w:jc w:val="both"/>
        <w:rPr>
          <w:rFonts w:ascii="Times New Roman" w:hAnsi="Times New Roman"/>
        </w:rPr>
      </w:pPr>
      <w:r w:rsidRPr="008A674B">
        <w:rPr>
          <w:rFonts w:ascii="Times New Roman" w:hAnsi="Times New Roman"/>
        </w:rPr>
        <w:t>Coliva, A. 2025</w:t>
      </w:r>
      <w:r w:rsidR="005067B2">
        <w:rPr>
          <w:rFonts w:ascii="Times New Roman" w:hAnsi="Times New Roman"/>
        </w:rPr>
        <w:t>b</w:t>
      </w:r>
      <w:r w:rsidR="006A333B" w:rsidRPr="008A674B">
        <w:rPr>
          <w:rFonts w:ascii="Times New Roman" w:hAnsi="Times New Roman"/>
        </w:rPr>
        <w:t xml:space="preserve"> “Against quasi-fideism”, </w:t>
      </w:r>
      <w:r w:rsidR="008A674B" w:rsidRPr="008A674B">
        <w:rPr>
          <w:rFonts w:ascii="Times New Roman" w:hAnsi="Times New Roman"/>
          <w:i/>
          <w:iCs/>
        </w:rPr>
        <w:t>Religions</w:t>
      </w:r>
      <w:r w:rsidR="008A674B" w:rsidRPr="008A674B">
        <w:rPr>
          <w:rFonts w:ascii="Times New Roman" w:hAnsi="Times New Roman"/>
        </w:rPr>
        <w:t>, for</w:t>
      </w:r>
      <w:r w:rsidR="008A674B">
        <w:rPr>
          <w:rFonts w:ascii="Times New Roman" w:hAnsi="Times New Roman"/>
        </w:rPr>
        <w:t>th.</w:t>
      </w:r>
    </w:p>
    <w:p w14:paraId="4A1A0E8A" w14:textId="765DA410" w:rsidR="005067B2" w:rsidRPr="008A674B" w:rsidRDefault="005067B2" w:rsidP="005067B2">
      <w:pPr>
        <w:widowControl w:val="0"/>
        <w:autoSpaceDE w:val="0"/>
        <w:autoSpaceDN w:val="0"/>
        <w:adjustRightInd w:val="0"/>
        <w:ind w:left="720" w:hanging="720"/>
        <w:contextualSpacing/>
        <w:jc w:val="both"/>
        <w:rPr>
          <w:rFonts w:ascii="Times New Roman" w:hAnsi="Times New Roman"/>
        </w:rPr>
      </w:pPr>
      <w:r w:rsidRPr="00FB0F44">
        <w:rPr>
          <w:rFonts w:ascii="Times New Roman" w:hAnsi="Times New Roman"/>
          <w:lang w:val="it-IT"/>
        </w:rPr>
        <w:t>Coliva, A. 2025</w:t>
      </w:r>
      <w:r>
        <w:rPr>
          <w:rFonts w:ascii="Times New Roman" w:hAnsi="Times New Roman"/>
          <w:lang w:val="it-IT"/>
        </w:rPr>
        <w:t>c</w:t>
      </w:r>
      <w:r w:rsidRPr="00FB0F44">
        <w:rPr>
          <w:rFonts w:ascii="Times New Roman" w:hAnsi="Times New Roman"/>
          <w:lang w:val="it-IT"/>
        </w:rPr>
        <w:t xml:space="preserve"> “Hinge epistemology”, in K. Sylvan (ed.)</w:t>
      </w:r>
      <w:r>
        <w:rPr>
          <w:rFonts w:ascii="Times New Roman" w:hAnsi="Times New Roman"/>
          <w:lang w:val="it-IT"/>
        </w:rPr>
        <w:t xml:space="preserve"> </w:t>
      </w:r>
      <w:r w:rsidRPr="00FB0F44">
        <w:rPr>
          <w:rFonts w:ascii="Times New Roman" w:hAnsi="Times New Roman"/>
          <w:i/>
          <w:iCs/>
        </w:rPr>
        <w:t>The Blackwell Companion to Epistemology</w:t>
      </w:r>
      <w:r>
        <w:rPr>
          <w:rFonts w:ascii="Times New Roman" w:hAnsi="Times New Roman"/>
        </w:rPr>
        <w:t xml:space="preserve">, </w:t>
      </w:r>
      <w:proofErr w:type="gramStart"/>
      <w:r>
        <w:rPr>
          <w:rFonts w:ascii="Times New Roman" w:hAnsi="Times New Roman"/>
        </w:rPr>
        <w:t>forth</w:t>
      </w:r>
      <w:proofErr w:type="gramEnd"/>
      <w:r>
        <w:rPr>
          <w:rFonts w:ascii="Times New Roman" w:hAnsi="Times New Roman"/>
        </w:rPr>
        <w:t>.</w:t>
      </w:r>
    </w:p>
    <w:p w14:paraId="3F2AB0D9" w14:textId="4EBFA1BE" w:rsidR="00B34182" w:rsidRPr="006A333B" w:rsidRDefault="00B34182" w:rsidP="004E6557">
      <w:pPr>
        <w:widowControl w:val="0"/>
        <w:autoSpaceDE w:val="0"/>
        <w:autoSpaceDN w:val="0"/>
        <w:adjustRightInd w:val="0"/>
        <w:ind w:left="720" w:hanging="720"/>
        <w:contextualSpacing/>
        <w:jc w:val="both"/>
        <w:rPr>
          <w:rFonts w:ascii="Times New Roman" w:hAnsi="Times New Roman"/>
        </w:rPr>
      </w:pPr>
      <w:r w:rsidRPr="006A333B">
        <w:rPr>
          <w:rFonts w:ascii="Times New Roman" w:hAnsi="Times New Roman"/>
        </w:rPr>
        <w:lastRenderedPageBreak/>
        <w:t>Coliva, A. 2025</w:t>
      </w:r>
      <w:r w:rsidR="00967863">
        <w:rPr>
          <w:rFonts w:ascii="Times New Roman" w:hAnsi="Times New Roman"/>
        </w:rPr>
        <w:t>d</w:t>
      </w:r>
      <w:r w:rsidRPr="006A333B">
        <w:rPr>
          <w:rFonts w:ascii="Times New Roman" w:hAnsi="Times New Roman"/>
        </w:rPr>
        <w:t xml:space="preserve"> </w:t>
      </w:r>
      <w:r w:rsidR="006A333B" w:rsidRPr="006A333B">
        <w:rPr>
          <w:rFonts w:ascii="Times New Roman" w:hAnsi="Times New Roman"/>
          <w:i/>
          <w:iCs/>
        </w:rPr>
        <w:t>Wittgenstein and Social Epistemology</w:t>
      </w:r>
      <w:r w:rsidR="006A333B">
        <w:rPr>
          <w:rFonts w:ascii="Times New Roman" w:hAnsi="Times New Roman"/>
        </w:rPr>
        <w:t>, Cambridge: Cambridge University Press.</w:t>
      </w:r>
    </w:p>
    <w:p w14:paraId="2C25D5D6" w14:textId="09027F36" w:rsidR="00B34182" w:rsidRDefault="00B34182" w:rsidP="004E6557">
      <w:pPr>
        <w:widowControl w:val="0"/>
        <w:autoSpaceDE w:val="0"/>
        <w:autoSpaceDN w:val="0"/>
        <w:adjustRightInd w:val="0"/>
        <w:ind w:left="720" w:hanging="720"/>
        <w:contextualSpacing/>
        <w:jc w:val="both"/>
        <w:rPr>
          <w:rFonts w:ascii="Times New Roman" w:hAnsi="Times New Roman"/>
        </w:rPr>
      </w:pPr>
      <w:r w:rsidRPr="006A333B">
        <w:rPr>
          <w:rFonts w:ascii="Times New Roman" w:hAnsi="Times New Roman"/>
        </w:rPr>
        <w:t xml:space="preserve">Coliva, A. </w:t>
      </w:r>
      <w:r w:rsidR="006A333B" w:rsidRPr="006A333B">
        <w:rPr>
          <w:rFonts w:ascii="Times New Roman" w:hAnsi="Times New Roman"/>
        </w:rPr>
        <w:t>2025</w:t>
      </w:r>
      <w:r w:rsidR="00967863">
        <w:rPr>
          <w:rFonts w:ascii="Times New Roman" w:hAnsi="Times New Roman"/>
        </w:rPr>
        <w:t>e</w:t>
      </w:r>
      <w:r w:rsidR="006A333B" w:rsidRPr="006A333B">
        <w:rPr>
          <w:rFonts w:ascii="Times New Roman" w:hAnsi="Times New Roman"/>
        </w:rPr>
        <w:t xml:space="preserve"> “Hinge trust”, </w:t>
      </w:r>
      <w:r w:rsidR="006A333B" w:rsidRPr="006A333B">
        <w:rPr>
          <w:rFonts w:ascii="Times New Roman" w:hAnsi="Times New Roman"/>
          <w:i/>
          <w:iCs/>
        </w:rPr>
        <w:t>Philosophy and Phenomenological Research</w:t>
      </w:r>
      <w:r w:rsidR="006A333B">
        <w:rPr>
          <w:rFonts w:ascii="Times New Roman" w:hAnsi="Times New Roman"/>
        </w:rPr>
        <w:t>, forth.</w:t>
      </w:r>
    </w:p>
    <w:p w14:paraId="520073D8" w14:textId="64C6017A" w:rsidR="00745221" w:rsidRDefault="00745221" w:rsidP="004E6557">
      <w:pPr>
        <w:widowControl w:val="0"/>
        <w:autoSpaceDE w:val="0"/>
        <w:autoSpaceDN w:val="0"/>
        <w:adjustRightInd w:val="0"/>
        <w:ind w:left="720" w:hanging="720"/>
        <w:contextualSpacing/>
        <w:jc w:val="both"/>
        <w:rPr>
          <w:rFonts w:ascii="Times New Roman" w:hAnsi="Times New Roman"/>
        </w:rPr>
      </w:pPr>
      <w:r>
        <w:rPr>
          <w:rFonts w:ascii="Times New Roman" w:hAnsi="Times New Roman"/>
        </w:rPr>
        <w:t xml:space="preserve">Coliva, A. and Doulas, L. </w:t>
      </w:r>
      <w:r w:rsidR="00D41E33">
        <w:rPr>
          <w:rFonts w:ascii="Times New Roman" w:hAnsi="Times New Roman"/>
        </w:rPr>
        <w:t xml:space="preserve">2022 </w:t>
      </w:r>
      <w:hyperlink r:id="rId8" w:history="1">
        <w:r w:rsidR="00D41E33" w:rsidRPr="00AA7594">
          <w:rPr>
            <w:rStyle w:val="Hyperlink"/>
            <w:rFonts w:ascii="Times New Roman" w:hAnsi="Times New Roman"/>
            <w:color w:val="auto"/>
            <w:u w:val="none"/>
          </w:rPr>
          <w:t xml:space="preserve">“What </w:t>
        </w:r>
        <w:r w:rsidR="00B32A7C">
          <w:rPr>
            <w:rStyle w:val="Hyperlink"/>
            <w:rFonts w:ascii="Times New Roman" w:hAnsi="Times New Roman"/>
            <w:color w:val="auto"/>
            <w:u w:val="none"/>
          </w:rPr>
          <w:t>p</w:t>
        </w:r>
        <w:r w:rsidR="00D41E33" w:rsidRPr="00AA7594">
          <w:rPr>
            <w:rStyle w:val="Hyperlink"/>
            <w:rFonts w:ascii="Times New Roman" w:hAnsi="Times New Roman"/>
            <w:color w:val="auto"/>
            <w:u w:val="none"/>
          </w:rPr>
          <w:t xml:space="preserve">hilosophical </w:t>
        </w:r>
        <w:r w:rsidR="00B32A7C">
          <w:rPr>
            <w:rStyle w:val="Hyperlink"/>
            <w:rFonts w:ascii="Times New Roman" w:hAnsi="Times New Roman"/>
            <w:color w:val="auto"/>
            <w:u w:val="none"/>
          </w:rPr>
          <w:t>d</w:t>
        </w:r>
        <w:r w:rsidR="00D41E33" w:rsidRPr="00AA7594">
          <w:rPr>
            <w:rStyle w:val="Hyperlink"/>
            <w:rFonts w:ascii="Times New Roman" w:hAnsi="Times New Roman"/>
            <w:color w:val="auto"/>
            <w:u w:val="none"/>
          </w:rPr>
          <w:t xml:space="preserve">isagreement and </w:t>
        </w:r>
        <w:r w:rsidR="00B32A7C">
          <w:rPr>
            <w:rStyle w:val="Hyperlink"/>
            <w:rFonts w:ascii="Times New Roman" w:hAnsi="Times New Roman"/>
            <w:color w:val="auto"/>
            <w:u w:val="none"/>
          </w:rPr>
          <w:t>p</w:t>
        </w:r>
        <w:r w:rsidR="00D41E33" w:rsidRPr="00AA7594">
          <w:rPr>
            <w:rStyle w:val="Hyperlink"/>
            <w:rFonts w:ascii="Times New Roman" w:hAnsi="Times New Roman"/>
            <w:color w:val="auto"/>
            <w:u w:val="none"/>
          </w:rPr>
          <w:t xml:space="preserve">hilosophical </w:t>
        </w:r>
        <w:r w:rsidR="00B32A7C">
          <w:rPr>
            <w:rStyle w:val="Hyperlink"/>
            <w:rFonts w:ascii="Times New Roman" w:hAnsi="Times New Roman"/>
            <w:color w:val="auto"/>
            <w:u w:val="none"/>
          </w:rPr>
          <w:t>s</w:t>
        </w:r>
        <w:r w:rsidR="00D41E33" w:rsidRPr="00AA7594">
          <w:rPr>
            <w:rStyle w:val="Hyperlink"/>
            <w:rFonts w:ascii="Times New Roman" w:hAnsi="Times New Roman"/>
            <w:color w:val="auto"/>
            <w:u w:val="none"/>
          </w:rPr>
          <w:t xml:space="preserve">kepticism </w:t>
        </w:r>
        <w:r w:rsidR="00B32A7C">
          <w:rPr>
            <w:rStyle w:val="Hyperlink"/>
            <w:rFonts w:ascii="Times New Roman" w:hAnsi="Times New Roman"/>
            <w:color w:val="auto"/>
            <w:u w:val="none"/>
          </w:rPr>
          <w:t>h</w:t>
        </w:r>
        <w:r w:rsidR="00D41E33" w:rsidRPr="00AA7594">
          <w:rPr>
            <w:rStyle w:val="Hyperlink"/>
            <w:rFonts w:ascii="Times New Roman" w:hAnsi="Times New Roman"/>
            <w:color w:val="auto"/>
            <w:u w:val="none"/>
          </w:rPr>
          <w:t xml:space="preserve">inge </w:t>
        </w:r>
        <w:r w:rsidR="00B32A7C">
          <w:rPr>
            <w:rStyle w:val="Hyperlink"/>
            <w:rFonts w:ascii="Times New Roman" w:hAnsi="Times New Roman"/>
            <w:color w:val="auto"/>
            <w:u w:val="none"/>
          </w:rPr>
          <w:t>o</w:t>
        </w:r>
        <w:r w:rsidR="00D41E33" w:rsidRPr="00AA7594">
          <w:rPr>
            <w:rStyle w:val="Hyperlink"/>
            <w:rFonts w:ascii="Times New Roman" w:hAnsi="Times New Roman"/>
            <w:color w:val="auto"/>
            <w:u w:val="none"/>
          </w:rPr>
          <w:t>n”</w:t>
        </w:r>
      </w:hyperlink>
      <w:r w:rsidR="00AA7594">
        <w:rPr>
          <w:rFonts w:ascii="Times New Roman" w:hAnsi="Times New Roman"/>
        </w:rPr>
        <w:t xml:space="preserve">, </w:t>
      </w:r>
      <w:proofErr w:type="spellStart"/>
      <w:r w:rsidR="00AA7594" w:rsidRPr="00200089">
        <w:rPr>
          <w:rFonts w:ascii="Times New Roman" w:hAnsi="Times New Roman"/>
          <w:i/>
          <w:iCs/>
        </w:rPr>
        <w:t>Synthese</w:t>
      </w:r>
      <w:proofErr w:type="spellEnd"/>
      <w:r w:rsidR="00200089">
        <w:rPr>
          <w:rFonts w:ascii="Times New Roman" w:hAnsi="Times New Roman"/>
        </w:rPr>
        <w:t xml:space="preserve"> 200: 1-14.</w:t>
      </w:r>
    </w:p>
    <w:p w14:paraId="0ECB161D" w14:textId="30F7985F" w:rsidR="00F249CB" w:rsidRPr="00F249CB" w:rsidRDefault="00F249CB" w:rsidP="004E6557">
      <w:pPr>
        <w:widowControl w:val="0"/>
        <w:autoSpaceDE w:val="0"/>
        <w:autoSpaceDN w:val="0"/>
        <w:adjustRightInd w:val="0"/>
        <w:ind w:left="720" w:hanging="720"/>
        <w:contextualSpacing/>
        <w:jc w:val="both"/>
        <w:rPr>
          <w:rFonts w:ascii="Times New Roman" w:hAnsi="Times New Roman"/>
        </w:rPr>
      </w:pPr>
      <w:r w:rsidRPr="00F249CB">
        <w:rPr>
          <w:rFonts w:ascii="Times New Roman" w:hAnsi="Times New Roman"/>
        </w:rPr>
        <w:t xml:space="preserve">Coliva, A. and Palmira, M. 2020 </w:t>
      </w:r>
      <w:hyperlink r:id="rId9" w:history="1">
        <w:r w:rsidRPr="00580751">
          <w:rPr>
            <w:rStyle w:val="Hyperlink"/>
            <w:rFonts w:ascii="Times New Roman" w:hAnsi="Times New Roman"/>
            <w:color w:val="auto"/>
            <w:u w:val="none"/>
          </w:rPr>
          <w:t>“Hinge disagreement”</w:t>
        </w:r>
      </w:hyperlink>
      <w:r w:rsidR="00580751">
        <w:rPr>
          <w:rFonts w:ascii="Times New Roman" w:hAnsi="Times New Roman"/>
        </w:rPr>
        <w:t>, i</w:t>
      </w:r>
      <w:r w:rsidRPr="00F249CB">
        <w:rPr>
          <w:rFonts w:ascii="Times New Roman" w:hAnsi="Times New Roman"/>
        </w:rPr>
        <w:t>n Kusch, M. (ed.) </w:t>
      </w:r>
      <w:r w:rsidRPr="00F249CB">
        <w:rPr>
          <w:rFonts w:ascii="Times New Roman" w:hAnsi="Times New Roman"/>
          <w:i/>
          <w:iCs/>
        </w:rPr>
        <w:t>Social Epistemology and Epistemic Relativism</w:t>
      </w:r>
      <w:r w:rsidRPr="00F249CB">
        <w:rPr>
          <w:rFonts w:ascii="Times New Roman" w:hAnsi="Times New Roman"/>
        </w:rPr>
        <w:t xml:space="preserve">, </w:t>
      </w:r>
      <w:r w:rsidR="00580751">
        <w:rPr>
          <w:rFonts w:ascii="Times New Roman" w:hAnsi="Times New Roman"/>
        </w:rPr>
        <w:t xml:space="preserve">London-New York: </w:t>
      </w:r>
      <w:r w:rsidRPr="00F249CB">
        <w:rPr>
          <w:rFonts w:ascii="Times New Roman" w:hAnsi="Times New Roman"/>
        </w:rPr>
        <w:t>Routledge</w:t>
      </w:r>
      <w:r w:rsidR="003A4F96">
        <w:rPr>
          <w:rFonts w:ascii="Times New Roman" w:hAnsi="Times New Roman"/>
        </w:rPr>
        <w:t>,</w:t>
      </w:r>
      <w:r w:rsidR="00580751">
        <w:rPr>
          <w:rFonts w:ascii="Times New Roman" w:hAnsi="Times New Roman"/>
        </w:rPr>
        <w:t xml:space="preserve"> 11-29.</w:t>
      </w:r>
    </w:p>
    <w:p w14:paraId="3D876583" w14:textId="658C746E" w:rsidR="00200089" w:rsidRDefault="00200089" w:rsidP="004E6557">
      <w:pPr>
        <w:widowControl w:val="0"/>
        <w:autoSpaceDE w:val="0"/>
        <w:autoSpaceDN w:val="0"/>
        <w:adjustRightInd w:val="0"/>
        <w:ind w:left="720" w:hanging="720"/>
        <w:contextualSpacing/>
        <w:jc w:val="both"/>
        <w:rPr>
          <w:rFonts w:ascii="Times New Roman" w:hAnsi="Times New Roman"/>
        </w:rPr>
      </w:pPr>
      <w:r w:rsidRPr="00B32A7C">
        <w:rPr>
          <w:rFonts w:ascii="Times New Roman" w:hAnsi="Times New Roman"/>
        </w:rPr>
        <w:t xml:space="preserve">Coliva, A. and Palmira, M. </w:t>
      </w:r>
      <w:r w:rsidR="00B32A7C" w:rsidRPr="00B32A7C">
        <w:rPr>
          <w:rFonts w:ascii="Times New Roman" w:hAnsi="Times New Roman"/>
        </w:rPr>
        <w:t>2021 “</w:t>
      </w:r>
      <w:hyperlink r:id="rId10" w:history="1">
        <w:r w:rsidR="00B32A7C" w:rsidRPr="00B32A7C">
          <w:rPr>
            <w:rStyle w:val="Hyperlink"/>
            <w:rFonts w:ascii="Times New Roman" w:hAnsi="Times New Roman"/>
            <w:color w:val="auto"/>
            <w:u w:val="none"/>
          </w:rPr>
          <w:t xml:space="preserve">Disagreement unhinged </w:t>
        </w:r>
        <w:proofErr w:type="spellStart"/>
        <w:r w:rsidR="00B32A7C" w:rsidRPr="00B32A7C">
          <w:rPr>
            <w:rStyle w:val="Hyperlink"/>
            <w:rFonts w:ascii="Times New Roman" w:hAnsi="Times New Roman"/>
            <w:color w:val="auto"/>
            <w:u w:val="none"/>
          </w:rPr>
          <w:t>constitutivism</w:t>
        </w:r>
        <w:proofErr w:type="spellEnd"/>
        <w:r w:rsidR="00B32A7C" w:rsidRPr="00B32A7C">
          <w:rPr>
            <w:rStyle w:val="Hyperlink"/>
            <w:rFonts w:ascii="Times New Roman" w:hAnsi="Times New Roman"/>
            <w:color w:val="auto"/>
            <w:u w:val="none"/>
          </w:rPr>
          <w:t>-style”</w:t>
        </w:r>
      </w:hyperlink>
      <w:r w:rsidR="00B32A7C" w:rsidRPr="00B32A7C">
        <w:rPr>
          <w:rFonts w:ascii="Times New Roman" w:hAnsi="Times New Roman"/>
        </w:rPr>
        <w:t xml:space="preserve">, </w:t>
      </w:r>
      <w:proofErr w:type="spellStart"/>
      <w:r w:rsidR="00B32A7C" w:rsidRPr="00B32A7C">
        <w:rPr>
          <w:rFonts w:ascii="Times New Roman" w:hAnsi="Times New Roman"/>
          <w:i/>
          <w:iCs/>
        </w:rPr>
        <w:t>Metaphilosophy</w:t>
      </w:r>
      <w:proofErr w:type="spellEnd"/>
      <w:r w:rsidR="004150A2">
        <w:rPr>
          <w:rFonts w:ascii="Times New Roman" w:hAnsi="Times New Roman"/>
        </w:rPr>
        <w:t xml:space="preserve"> </w:t>
      </w:r>
      <w:r w:rsidR="00B32A7C" w:rsidRPr="00B32A7C">
        <w:rPr>
          <w:rFonts w:ascii="Times New Roman" w:hAnsi="Times New Roman"/>
        </w:rPr>
        <w:t>52</w:t>
      </w:r>
      <w:r w:rsidR="007940BB">
        <w:rPr>
          <w:rFonts w:ascii="Times New Roman" w:hAnsi="Times New Roman"/>
        </w:rPr>
        <w:t xml:space="preserve">: </w:t>
      </w:r>
      <w:r w:rsidR="00B32A7C" w:rsidRPr="00B32A7C">
        <w:rPr>
          <w:rFonts w:ascii="Times New Roman" w:hAnsi="Times New Roman"/>
        </w:rPr>
        <w:t>402–415</w:t>
      </w:r>
      <w:r w:rsidR="007940BB">
        <w:rPr>
          <w:rFonts w:ascii="Times New Roman" w:hAnsi="Times New Roman"/>
        </w:rPr>
        <w:t>.</w:t>
      </w:r>
    </w:p>
    <w:p w14:paraId="0A0DE75D" w14:textId="531A2E6C" w:rsidR="00EB3DF5" w:rsidRPr="00B32A7C" w:rsidRDefault="00EB3DF5" w:rsidP="004E6557">
      <w:pPr>
        <w:widowControl w:val="0"/>
        <w:autoSpaceDE w:val="0"/>
        <w:autoSpaceDN w:val="0"/>
        <w:adjustRightInd w:val="0"/>
        <w:ind w:left="720" w:hanging="720"/>
        <w:contextualSpacing/>
        <w:jc w:val="both"/>
        <w:rPr>
          <w:rFonts w:ascii="Times New Roman" w:hAnsi="Times New Roman"/>
        </w:rPr>
      </w:pPr>
      <w:r>
        <w:rPr>
          <w:rFonts w:ascii="Times New Roman" w:hAnsi="Times New Roman"/>
        </w:rPr>
        <w:t>Coliva, A., Pritc</w:t>
      </w:r>
      <w:r w:rsidR="009B4D9E">
        <w:rPr>
          <w:rFonts w:ascii="Times New Roman" w:hAnsi="Times New Roman"/>
        </w:rPr>
        <w:t>h</w:t>
      </w:r>
      <w:r>
        <w:rPr>
          <w:rFonts w:ascii="Times New Roman" w:hAnsi="Times New Roman"/>
        </w:rPr>
        <w:t xml:space="preserve">ard, D. and </w:t>
      </w:r>
      <w:proofErr w:type="spellStart"/>
      <w:r>
        <w:rPr>
          <w:rFonts w:ascii="Times New Roman" w:hAnsi="Times New Roman"/>
        </w:rPr>
        <w:t>Sch</w:t>
      </w:r>
      <w:r>
        <w:rPr>
          <w:rFonts w:ascii="Times New Roman" w:hAnsi="Times New Roman" w:cs="Times New Roman"/>
        </w:rPr>
        <w:t>ö</w:t>
      </w:r>
      <w:r>
        <w:rPr>
          <w:rFonts w:ascii="Times New Roman" w:hAnsi="Times New Roman"/>
        </w:rPr>
        <w:t>nbaumsfeld</w:t>
      </w:r>
      <w:proofErr w:type="spellEnd"/>
      <w:r>
        <w:rPr>
          <w:rFonts w:ascii="Times New Roman" w:hAnsi="Times New Roman"/>
        </w:rPr>
        <w:t xml:space="preserve">, </w:t>
      </w:r>
      <w:r w:rsidR="009B4D9E">
        <w:rPr>
          <w:rFonts w:ascii="Times New Roman" w:hAnsi="Times New Roman"/>
        </w:rPr>
        <w:t xml:space="preserve">G. </w:t>
      </w:r>
      <w:r w:rsidR="009B4D9E" w:rsidRPr="009B4D9E">
        <w:rPr>
          <w:rFonts w:ascii="Times New Roman" w:hAnsi="Times New Roman"/>
          <w:i/>
          <w:iCs/>
        </w:rPr>
        <w:t>Religious Hinges</w:t>
      </w:r>
      <w:r w:rsidR="009B4D9E">
        <w:rPr>
          <w:rFonts w:ascii="Times New Roman" w:hAnsi="Times New Roman"/>
        </w:rPr>
        <w:t>, Oxford: Oxford University Press.</w:t>
      </w:r>
    </w:p>
    <w:p w14:paraId="141E25EF" w14:textId="6655F2DE" w:rsidR="00A8368B" w:rsidRDefault="00A8368B" w:rsidP="004150A2">
      <w:pPr>
        <w:widowControl w:val="0"/>
        <w:autoSpaceDE w:val="0"/>
        <w:autoSpaceDN w:val="0"/>
        <w:adjustRightInd w:val="0"/>
        <w:ind w:left="720" w:hanging="720"/>
        <w:contextualSpacing/>
        <w:jc w:val="both"/>
        <w:rPr>
          <w:rFonts w:ascii="Times New Roman" w:hAnsi="Times New Roman"/>
        </w:rPr>
      </w:pPr>
      <w:r w:rsidRPr="00267352">
        <w:rPr>
          <w:rFonts w:ascii="Times New Roman" w:hAnsi="Times New Roman"/>
        </w:rPr>
        <w:t>Feldman, R. 2007 “Reasonable religious disagreement”, in Anthony, L.</w:t>
      </w:r>
      <w:r w:rsidR="004150A2">
        <w:rPr>
          <w:rFonts w:ascii="Times New Roman" w:hAnsi="Times New Roman"/>
        </w:rPr>
        <w:t xml:space="preserve"> (e.)</w:t>
      </w:r>
      <w:r w:rsidRPr="00267352">
        <w:rPr>
          <w:rFonts w:ascii="Times New Roman" w:hAnsi="Times New Roman"/>
        </w:rPr>
        <w:t xml:space="preserve">, </w:t>
      </w:r>
      <w:r w:rsidRPr="00267352">
        <w:rPr>
          <w:rFonts w:ascii="Times New Roman" w:hAnsi="Times New Roman"/>
          <w:i/>
          <w:iCs/>
        </w:rPr>
        <w:t>Philosophers without Gods: meditations on atheism and secular life</w:t>
      </w:r>
      <w:r w:rsidRPr="00267352">
        <w:rPr>
          <w:rFonts w:ascii="Times New Roman" w:hAnsi="Times New Roman"/>
        </w:rPr>
        <w:t>, New York: Oxford University Press</w:t>
      </w:r>
      <w:r w:rsidR="003A4F96">
        <w:rPr>
          <w:rFonts w:ascii="Times New Roman" w:hAnsi="Times New Roman"/>
        </w:rPr>
        <w:t>,</w:t>
      </w:r>
      <w:r w:rsidR="004150A2">
        <w:rPr>
          <w:rFonts w:ascii="Times New Roman" w:hAnsi="Times New Roman"/>
        </w:rPr>
        <w:t xml:space="preserve"> </w:t>
      </w:r>
      <w:r w:rsidRPr="00267352">
        <w:rPr>
          <w:rFonts w:ascii="Times New Roman" w:hAnsi="Times New Roman"/>
        </w:rPr>
        <w:t>194-218.</w:t>
      </w:r>
    </w:p>
    <w:p w14:paraId="452E9273" w14:textId="4494322B" w:rsidR="00D7140F" w:rsidRPr="001978BA" w:rsidRDefault="00D7140F" w:rsidP="004150A2">
      <w:pPr>
        <w:widowControl w:val="0"/>
        <w:autoSpaceDE w:val="0"/>
        <w:autoSpaceDN w:val="0"/>
        <w:adjustRightInd w:val="0"/>
        <w:ind w:left="720" w:hanging="720"/>
        <w:contextualSpacing/>
        <w:jc w:val="both"/>
        <w:rPr>
          <w:rFonts w:ascii="Times New Roman" w:hAnsi="Times New Roman"/>
          <w:lang w:val="it-IT"/>
        </w:rPr>
      </w:pPr>
      <w:r w:rsidRPr="001978BA">
        <w:rPr>
          <w:rFonts w:ascii="Times New Roman" w:hAnsi="Times New Roman"/>
          <w:lang w:val="it-IT"/>
        </w:rPr>
        <w:t>Kusch, M. 2014 “</w:t>
      </w:r>
      <w:r w:rsidR="001978BA" w:rsidRPr="001978BA">
        <w:rPr>
          <w:rFonts w:ascii="Times New Roman" w:hAnsi="Times New Roman"/>
          <w:lang w:val="it-IT"/>
        </w:rPr>
        <w:t>Wittgenstein e l’epsitemologia del disaccordo</w:t>
      </w:r>
      <w:r w:rsidRPr="001978BA">
        <w:rPr>
          <w:rFonts w:ascii="Times New Roman" w:hAnsi="Times New Roman"/>
          <w:lang w:val="it-IT"/>
        </w:rPr>
        <w:t>”</w:t>
      </w:r>
      <w:r w:rsidR="001978BA" w:rsidRPr="001978BA">
        <w:rPr>
          <w:rFonts w:ascii="Times New Roman" w:hAnsi="Times New Roman"/>
          <w:lang w:val="it-IT"/>
        </w:rPr>
        <w:t xml:space="preserve">, </w:t>
      </w:r>
      <w:r w:rsidR="001978BA">
        <w:fldChar w:fldCharType="begin"/>
      </w:r>
      <w:r w:rsidR="001978BA" w:rsidRPr="008731B7">
        <w:rPr>
          <w:lang w:val="it-IT"/>
        </w:rPr>
        <w:instrText>HYPERLINK "https://philpapers.org/asearch.pl?pub=1245"</w:instrText>
      </w:r>
      <w:r w:rsidR="001978BA">
        <w:fldChar w:fldCharType="separate"/>
      </w:r>
      <w:r w:rsidR="001978BA" w:rsidRPr="001978BA">
        <w:rPr>
          <w:rStyle w:val="Hyperlink"/>
          <w:rFonts w:ascii="Times New Roman" w:hAnsi="Times New Roman"/>
          <w:i/>
          <w:iCs/>
          <w:color w:val="auto"/>
          <w:u w:val="none"/>
          <w:lang w:val="it-IT"/>
        </w:rPr>
        <w:t>Iride: Filosofia e Discussione Pubblica</w:t>
      </w:r>
      <w:r w:rsidR="001978BA">
        <w:fldChar w:fldCharType="end"/>
      </w:r>
      <w:r w:rsidR="001978BA" w:rsidRPr="001978BA">
        <w:rPr>
          <w:rFonts w:ascii="Times New Roman" w:hAnsi="Times New Roman"/>
          <w:lang w:val="it-IT"/>
        </w:rPr>
        <w:t xml:space="preserve"> 3:555-576</w:t>
      </w:r>
      <w:r w:rsidR="001978BA">
        <w:rPr>
          <w:rFonts w:ascii="Times New Roman" w:hAnsi="Times New Roman"/>
          <w:lang w:val="it-IT"/>
        </w:rPr>
        <w:t>.</w:t>
      </w:r>
    </w:p>
    <w:p w14:paraId="202B1545" w14:textId="46C19D07" w:rsidR="002E2DD6" w:rsidRDefault="002E2DD6" w:rsidP="004150A2">
      <w:pPr>
        <w:widowControl w:val="0"/>
        <w:autoSpaceDE w:val="0"/>
        <w:autoSpaceDN w:val="0"/>
        <w:adjustRightInd w:val="0"/>
        <w:ind w:left="720" w:hanging="720"/>
        <w:contextualSpacing/>
        <w:jc w:val="both"/>
        <w:rPr>
          <w:rFonts w:ascii="Times New Roman" w:hAnsi="Times New Roman"/>
        </w:rPr>
      </w:pPr>
      <w:r w:rsidRPr="002E2DD6">
        <w:rPr>
          <w:rFonts w:ascii="Times New Roman" w:hAnsi="Times New Roman"/>
        </w:rPr>
        <w:t xml:space="preserve">Moore, G. E. 1939 “Proof of an external world”, in </w:t>
      </w:r>
      <w:r w:rsidRPr="002E2DD6">
        <w:rPr>
          <w:rFonts w:ascii="Times New Roman" w:hAnsi="Times New Roman"/>
          <w:i/>
          <w:iCs/>
        </w:rPr>
        <w:t>Philosophical Papers</w:t>
      </w:r>
      <w:r w:rsidRPr="002E2DD6">
        <w:rPr>
          <w:rFonts w:ascii="Times New Roman" w:hAnsi="Times New Roman"/>
        </w:rPr>
        <w:t>, London, George Allen &amp; Unwin, 1959: 127-150.</w:t>
      </w:r>
    </w:p>
    <w:p w14:paraId="31F0F10C" w14:textId="2DD31492" w:rsidR="00E75F65" w:rsidRDefault="00E75F65" w:rsidP="004150A2">
      <w:pPr>
        <w:widowControl w:val="0"/>
        <w:autoSpaceDE w:val="0"/>
        <w:autoSpaceDN w:val="0"/>
        <w:adjustRightInd w:val="0"/>
        <w:ind w:left="720" w:hanging="720"/>
        <w:contextualSpacing/>
        <w:jc w:val="both"/>
        <w:rPr>
          <w:rFonts w:ascii="Times New Roman" w:hAnsi="Times New Roman"/>
        </w:rPr>
      </w:pPr>
      <w:r w:rsidRPr="00E75F65">
        <w:rPr>
          <w:rFonts w:ascii="Times New Roman" w:hAnsi="Times New Roman"/>
        </w:rPr>
        <w:t xml:space="preserve">Newman, J. H. 1870 </w:t>
      </w:r>
      <w:r w:rsidRPr="00E75F65">
        <w:rPr>
          <w:rFonts w:ascii="Times New Roman" w:hAnsi="Times New Roman"/>
          <w:i/>
          <w:iCs/>
        </w:rPr>
        <w:t>An Essay in Aid of a Grammar of Assent</w:t>
      </w:r>
      <w:r w:rsidRPr="00E75F65">
        <w:rPr>
          <w:rFonts w:ascii="Times New Roman" w:hAnsi="Times New Roman"/>
        </w:rPr>
        <w:t xml:space="preserve">, </w:t>
      </w:r>
      <w:r w:rsidR="00321A2B">
        <w:rPr>
          <w:rFonts w:ascii="Times New Roman" w:hAnsi="Times New Roman"/>
        </w:rPr>
        <w:t xml:space="preserve">Oxford: Oxford University Press, </w:t>
      </w:r>
      <w:r w:rsidRPr="00E75F65">
        <w:rPr>
          <w:rFonts w:ascii="Times New Roman" w:hAnsi="Times New Roman"/>
        </w:rPr>
        <w:t>2016.</w:t>
      </w:r>
    </w:p>
    <w:p w14:paraId="5789C853" w14:textId="77777777" w:rsidR="00AB519D" w:rsidRPr="00AB519D" w:rsidRDefault="00AB519D" w:rsidP="00AB519D">
      <w:pPr>
        <w:widowControl w:val="0"/>
        <w:autoSpaceDE w:val="0"/>
        <w:autoSpaceDN w:val="0"/>
        <w:adjustRightInd w:val="0"/>
        <w:ind w:left="720" w:hanging="720"/>
        <w:contextualSpacing/>
        <w:jc w:val="both"/>
        <w:rPr>
          <w:rFonts w:ascii="Times New Roman" w:hAnsi="Times New Roman"/>
        </w:rPr>
      </w:pPr>
      <w:r w:rsidRPr="00AB519D">
        <w:rPr>
          <w:rFonts w:ascii="Times New Roman" w:hAnsi="Times New Roman"/>
        </w:rPr>
        <w:t xml:space="preserve">Pritchard, D. 2000 “Is ‘God exists’ a ‘hinge’ proposition of religious belief?”, </w:t>
      </w:r>
      <w:r w:rsidRPr="00AB519D">
        <w:rPr>
          <w:rFonts w:ascii="Times New Roman" w:hAnsi="Times New Roman"/>
          <w:i/>
          <w:iCs/>
        </w:rPr>
        <w:t>International Journal for Philosophy of Religion</w:t>
      </w:r>
      <w:r w:rsidRPr="00AB519D">
        <w:rPr>
          <w:rFonts w:ascii="Times New Roman" w:hAnsi="Times New Roman"/>
        </w:rPr>
        <w:t xml:space="preserve"> 47: 129-140.</w:t>
      </w:r>
    </w:p>
    <w:p w14:paraId="5BD70386" w14:textId="77777777" w:rsidR="00AB519D" w:rsidRPr="00AB519D" w:rsidRDefault="00AB519D" w:rsidP="00AB519D">
      <w:pPr>
        <w:widowControl w:val="0"/>
        <w:autoSpaceDE w:val="0"/>
        <w:autoSpaceDN w:val="0"/>
        <w:adjustRightInd w:val="0"/>
        <w:ind w:left="720" w:hanging="720"/>
        <w:contextualSpacing/>
        <w:jc w:val="both"/>
        <w:rPr>
          <w:rFonts w:ascii="Times New Roman" w:hAnsi="Times New Roman"/>
        </w:rPr>
      </w:pPr>
      <w:r w:rsidRPr="00AB519D">
        <w:rPr>
          <w:rFonts w:ascii="Times New Roman" w:hAnsi="Times New Roman"/>
        </w:rPr>
        <w:t>Pritchard, D. 2011 “</w:t>
      </w:r>
      <w:proofErr w:type="spellStart"/>
      <w:r w:rsidRPr="00AB519D">
        <w:rPr>
          <w:rFonts w:ascii="Times New Roman" w:hAnsi="Times New Roman"/>
        </w:rPr>
        <w:t>Wittgensteinian</w:t>
      </w:r>
      <w:proofErr w:type="spellEnd"/>
      <w:r w:rsidRPr="00AB519D">
        <w:rPr>
          <w:rFonts w:ascii="Times New Roman" w:hAnsi="Times New Roman"/>
        </w:rPr>
        <w:t xml:space="preserve"> quasi-fideism”, </w:t>
      </w:r>
      <w:r w:rsidRPr="00AB519D">
        <w:rPr>
          <w:rFonts w:ascii="Times New Roman" w:hAnsi="Times New Roman"/>
          <w:i/>
          <w:iCs/>
        </w:rPr>
        <w:t>Oxford Studies in the Philosophy of Religion</w:t>
      </w:r>
      <w:r w:rsidRPr="00AB519D">
        <w:rPr>
          <w:rFonts w:ascii="Times New Roman" w:hAnsi="Times New Roman"/>
        </w:rPr>
        <w:t xml:space="preserve"> 4: 145-159.</w:t>
      </w:r>
    </w:p>
    <w:p w14:paraId="62AF10AE" w14:textId="579115D2" w:rsidR="00AB519D" w:rsidRPr="00AB519D" w:rsidRDefault="00AB519D" w:rsidP="00AB519D">
      <w:pPr>
        <w:widowControl w:val="0"/>
        <w:autoSpaceDE w:val="0"/>
        <w:autoSpaceDN w:val="0"/>
        <w:adjustRightInd w:val="0"/>
        <w:ind w:left="720" w:hanging="720"/>
        <w:contextualSpacing/>
        <w:jc w:val="both"/>
        <w:rPr>
          <w:rFonts w:ascii="Times New Roman" w:hAnsi="Times New Roman"/>
        </w:rPr>
      </w:pPr>
      <w:r w:rsidRPr="00AB519D">
        <w:rPr>
          <w:rFonts w:ascii="Times New Roman" w:hAnsi="Times New Roman"/>
        </w:rPr>
        <w:t xml:space="preserve">Pritchard, D. 2015 “Wittgenstein on faith and reason: the influence of Newman”, in Swatkowski, M. (ed.) </w:t>
      </w:r>
      <w:r w:rsidRPr="00AB519D">
        <w:rPr>
          <w:rFonts w:ascii="Times New Roman" w:hAnsi="Times New Roman"/>
          <w:i/>
          <w:iCs/>
        </w:rPr>
        <w:t>God, Truth and Other Enigmas</w:t>
      </w:r>
      <w:r w:rsidRPr="00AB519D">
        <w:rPr>
          <w:rFonts w:ascii="Times New Roman" w:hAnsi="Times New Roman"/>
        </w:rPr>
        <w:t>, Berlin</w:t>
      </w:r>
      <w:r w:rsidR="004104F7">
        <w:rPr>
          <w:rFonts w:ascii="Times New Roman" w:hAnsi="Times New Roman"/>
        </w:rPr>
        <w:t>:</w:t>
      </w:r>
      <w:r w:rsidRPr="00AB519D">
        <w:rPr>
          <w:rFonts w:ascii="Times New Roman" w:hAnsi="Times New Roman"/>
        </w:rPr>
        <w:t xml:space="preserve"> De Gruyter.</w:t>
      </w:r>
    </w:p>
    <w:p w14:paraId="711FDDB7" w14:textId="77777777" w:rsidR="00AB519D" w:rsidRPr="00AB519D" w:rsidRDefault="00AB519D" w:rsidP="00AB519D">
      <w:pPr>
        <w:widowControl w:val="0"/>
        <w:autoSpaceDE w:val="0"/>
        <w:autoSpaceDN w:val="0"/>
        <w:adjustRightInd w:val="0"/>
        <w:ind w:left="720" w:hanging="720"/>
        <w:contextualSpacing/>
        <w:jc w:val="both"/>
        <w:rPr>
          <w:rFonts w:ascii="Times New Roman" w:hAnsi="Times New Roman"/>
        </w:rPr>
      </w:pPr>
      <w:r w:rsidRPr="00AB519D">
        <w:rPr>
          <w:rFonts w:ascii="Times New Roman" w:hAnsi="Times New Roman"/>
        </w:rPr>
        <w:t xml:space="preserve">Pritchard, D. 2017 “Faith and reason”, </w:t>
      </w:r>
      <w:r w:rsidRPr="00AB519D">
        <w:rPr>
          <w:rFonts w:ascii="Times New Roman" w:hAnsi="Times New Roman"/>
          <w:i/>
          <w:iCs/>
        </w:rPr>
        <w:t>Royal Institute of Philosophy Supplement</w:t>
      </w:r>
      <w:r w:rsidRPr="00AB519D">
        <w:rPr>
          <w:rFonts w:ascii="Times New Roman" w:hAnsi="Times New Roman"/>
        </w:rPr>
        <w:t xml:space="preserve"> 81: 101-118.</w:t>
      </w:r>
    </w:p>
    <w:p w14:paraId="35C5A190" w14:textId="02EA67F8" w:rsidR="00AB519D" w:rsidRDefault="00AB519D" w:rsidP="004C4ACB">
      <w:pPr>
        <w:widowControl w:val="0"/>
        <w:autoSpaceDE w:val="0"/>
        <w:autoSpaceDN w:val="0"/>
        <w:adjustRightInd w:val="0"/>
        <w:ind w:left="720" w:hanging="720"/>
        <w:contextualSpacing/>
        <w:jc w:val="both"/>
        <w:rPr>
          <w:rFonts w:ascii="Times New Roman" w:hAnsi="Times New Roman"/>
        </w:rPr>
      </w:pPr>
      <w:r w:rsidRPr="00AB519D">
        <w:rPr>
          <w:rFonts w:ascii="Times New Roman" w:hAnsi="Times New Roman"/>
        </w:rPr>
        <w:t>Pritchard, D. 2024 “Quasi-fideism and virtuous anti-</w:t>
      </w:r>
      <w:proofErr w:type="spellStart"/>
      <w:r w:rsidRPr="00AB519D">
        <w:rPr>
          <w:rFonts w:ascii="Times New Roman" w:hAnsi="Times New Roman"/>
        </w:rPr>
        <w:t>evidentialism</w:t>
      </w:r>
      <w:proofErr w:type="spellEnd"/>
      <w:r w:rsidRPr="00AB519D">
        <w:rPr>
          <w:rFonts w:ascii="Times New Roman" w:hAnsi="Times New Roman"/>
        </w:rPr>
        <w:t xml:space="preserve">: Wittgenstein and Newman on knowledge and certainty”, in J. Milburn and F. Aquino (eds.) </w:t>
      </w:r>
      <w:r w:rsidRPr="00AB519D">
        <w:rPr>
          <w:rFonts w:ascii="Times New Roman" w:hAnsi="Times New Roman"/>
          <w:i/>
          <w:iCs/>
        </w:rPr>
        <w:t>Newman and Contemporary Philosophy</w:t>
      </w:r>
      <w:r w:rsidRPr="00AB519D">
        <w:rPr>
          <w:rFonts w:ascii="Times New Roman" w:hAnsi="Times New Roman"/>
        </w:rPr>
        <w:t>, London</w:t>
      </w:r>
      <w:r w:rsidR="004104F7">
        <w:rPr>
          <w:rFonts w:ascii="Times New Roman" w:hAnsi="Times New Roman"/>
        </w:rPr>
        <w:t xml:space="preserve">: </w:t>
      </w:r>
      <w:r w:rsidRPr="00AB519D">
        <w:rPr>
          <w:rFonts w:ascii="Times New Roman" w:hAnsi="Times New Roman"/>
        </w:rPr>
        <w:t>Routledge, forthcoming.</w:t>
      </w:r>
    </w:p>
    <w:p w14:paraId="593C64CB" w14:textId="0758B0F2" w:rsidR="007370EF" w:rsidRDefault="007370EF" w:rsidP="004C4ACB">
      <w:pPr>
        <w:widowControl w:val="0"/>
        <w:autoSpaceDE w:val="0"/>
        <w:autoSpaceDN w:val="0"/>
        <w:adjustRightInd w:val="0"/>
        <w:ind w:left="720" w:hanging="720"/>
        <w:contextualSpacing/>
        <w:jc w:val="both"/>
        <w:rPr>
          <w:rFonts w:ascii="Times New Roman" w:hAnsi="Times New Roman"/>
        </w:rPr>
      </w:pPr>
      <w:r>
        <w:rPr>
          <w:rFonts w:ascii="Times New Roman" w:hAnsi="Times New Roman"/>
        </w:rPr>
        <w:t xml:space="preserve">Quine, W. v. O. 1951 “Two dogmas of empiricism”, </w:t>
      </w:r>
      <w:hyperlink r:id="rId11" w:tooltip="The Philosophical Review" w:history="1">
        <w:r w:rsidR="0032483A" w:rsidRPr="0032483A">
          <w:rPr>
            <w:rStyle w:val="Hyperlink"/>
            <w:rFonts w:ascii="Times New Roman" w:hAnsi="Times New Roman"/>
            <w:i/>
            <w:iCs/>
            <w:color w:val="auto"/>
            <w:u w:val="none"/>
          </w:rPr>
          <w:t>The Philosophical Review</w:t>
        </w:r>
      </w:hyperlink>
      <w:r w:rsidR="001364ED">
        <w:rPr>
          <w:rFonts w:ascii="Times New Roman" w:hAnsi="Times New Roman"/>
        </w:rPr>
        <w:t xml:space="preserve"> </w:t>
      </w:r>
      <w:r w:rsidR="001364ED" w:rsidRPr="001364ED">
        <w:rPr>
          <w:rFonts w:ascii="Times New Roman" w:hAnsi="Times New Roman"/>
        </w:rPr>
        <w:t>60/1</w:t>
      </w:r>
      <w:r w:rsidR="0032483A" w:rsidRPr="001364ED">
        <w:rPr>
          <w:rFonts w:ascii="Times New Roman" w:hAnsi="Times New Roman"/>
        </w:rPr>
        <w:t>:</w:t>
      </w:r>
      <w:r w:rsidR="001364ED" w:rsidRPr="001364ED">
        <w:rPr>
          <w:rFonts w:ascii="Times New Roman" w:hAnsi="Times New Roman"/>
        </w:rPr>
        <w:t xml:space="preserve"> </w:t>
      </w:r>
      <w:r w:rsidR="0032483A" w:rsidRPr="001364ED">
        <w:rPr>
          <w:rFonts w:ascii="Times New Roman" w:hAnsi="Times New Roman"/>
        </w:rPr>
        <w:t>20–43</w:t>
      </w:r>
      <w:r w:rsidR="0032483A" w:rsidRPr="0032483A">
        <w:rPr>
          <w:rFonts w:ascii="Times New Roman" w:hAnsi="Times New Roman"/>
        </w:rPr>
        <w:t>.</w:t>
      </w:r>
    </w:p>
    <w:p w14:paraId="0C450E78" w14:textId="77777777" w:rsidR="00573282" w:rsidRPr="00267352" w:rsidRDefault="00CD7379" w:rsidP="00573282">
      <w:pPr>
        <w:widowControl w:val="0"/>
        <w:autoSpaceDE w:val="0"/>
        <w:autoSpaceDN w:val="0"/>
        <w:adjustRightInd w:val="0"/>
        <w:ind w:left="720" w:hanging="720"/>
        <w:contextualSpacing/>
        <w:jc w:val="both"/>
        <w:rPr>
          <w:rFonts w:ascii="Times New Roman" w:hAnsi="Times New Roman"/>
        </w:rPr>
      </w:pPr>
      <w:proofErr w:type="spellStart"/>
      <w:r w:rsidRPr="00267352">
        <w:rPr>
          <w:rFonts w:ascii="Times New Roman" w:hAnsi="Times New Roman"/>
        </w:rPr>
        <w:t>Schönbaumsfeld</w:t>
      </w:r>
      <w:proofErr w:type="spellEnd"/>
      <w:r w:rsidRPr="00267352">
        <w:rPr>
          <w:rFonts w:ascii="Times New Roman" w:hAnsi="Times New Roman"/>
        </w:rPr>
        <w:t xml:space="preserve">, G. 2007 </w:t>
      </w:r>
      <w:r w:rsidRPr="00267352">
        <w:rPr>
          <w:rFonts w:ascii="Times New Roman" w:hAnsi="Times New Roman"/>
          <w:i/>
          <w:iCs/>
        </w:rPr>
        <w:t xml:space="preserve">A </w:t>
      </w:r>
      <w:r w:rsidR="00573282">
        <w:rPr>
          <w:rFonts w:ascii="Times New Roman" w:hAnsi="Times New Roman"/>
          <w:i/>
          <w:iCs/>
        </w:rPr>
        <w:t>C</w:t>
      </w:r>
      <w:r w:rsidRPr="00267352">
        <w:rPr>
          <w:rFonts w:ascii="Times New Roman" w:hAnsi="Times New Roman"/>
          <w:i/>
          <w:iCs/>
        </w:rPr>
        <w:t xml:space="preserve">onfusion of the </w:t>
      </w:r>
      <w:r w:rsidR="00573282">
        <w:rPr>
          <w:rFonts w:ascii="Times New Roman" w:hAnsi="Times New Roman"/>
          <w:i/>
          <w:iCs/>
        </w:rPr>
        <w:t>S</w:t>
      </w:r>
      <w:r w:rsidRPr="00267352">
        <w:rPr>
          <w:rFonts w:ascii="Times New Roman" w:hAnsi="Times New Roman"/>
          <w:i/>
          <w:iCs/>
        </w:rPr>
        <w:t xml:space="preserve">pheres: Kierkegaard and Wittgenstein on </w:t>
      </w:r>
      <w:r w:rsidR="00573282">
        <w:rPr>
          <w:rFonts w:ascii="Times New Roman" w:hAnsi="Times New Roman"/>
          <w:i/>
          <w:iCs/>
        </w:rPr>
        <w:t>P</w:t>
      </w:r>
      <w:r w:rsidRPr="00267352">
        <w:rPr>
          <w:rFonts w:ascii="Times New Roman" w:hAnsi="Times New Roman"/>
          <w:i/>
          <w:iCs/>
        </w:rPr>
        <w:t xml:space="preserve">hilosophy and </w:t>
      </w:r>
      <w:r w:rsidR="00573282">
        <w:rPr>
          <w:rFonts w:ascii="Times New Roman" w:hAnsi="Times New Roman"/>
          <w:i/>
          <w:iCs/>
        </w:rPr>
        <w:t>R</w:t>
      </w:r>
      <w:r w:rsidRPr="00267352">
        <w:rPr>
          <w:rFonts w:ascii="Times New Roman" w:hAnsi="Times New Roman"/>
          <w:i/>
          <w:iCs/>
        </w:rPr>
        <w:t>eligion</w:t>
      </w:r>
      <w:r w:rsidRPr="00267352">
        <w:rPr>
          <w:rFonts w:ascii="Times New Roman" w:hAnsi="Times New Roman"/>
        </w:rPr>
        <w:t>, Oxford: Oxford University Press.</w:t>
      </w:r>
    </w:p>
    <w:p w14:paraId="0F3C7D8F" w14:textId="77777777" w:rsidR="00573282" w:rsidRDefault="00722810" w:rsidP="00573282">
      <w:pPr>
        <w:widowControl w:val="0"/>
        <w:autoSpaceDE w:val="0"/>
        <w:autoSpaceDN w:val="0"/>
        <w:adjustRightInd w:val="0"/>
        <w:ind w:left="720" w:hanging="720"/>
        <w:contextualSpacing/>
        <w:jc w:val="both"/>
        <w:rPr>
          <w:rFonts w:ascii="Times New Roman" w:hAnsi="Times New Roman"/>
        </w:rPr>
      </w:pPr>
      <w:proofErr w:type="spellStart"/>
      <w:r w:rsidRPr="00722810">
        <w:rPr>
          <w:rFonts w:ascii="Times New Roman" w:hAnsi="Times New Roman"/>
        </w:rPr>
        <w:t>Schönbaumsfeld</w:t>
      </w:r>
      <w:proofErr w:type="spellEnd"/>
      <w:r w:rsidRPr="00722810">
        <w:rPr>
          <w:rFonts w:ascii="Times New Roman" w:hAnsi="Times New Roman"/>
        </w:rPr>
        <w:t xml:space="preserve">, G. 2023 </w:t>
      </w:r>
      <w:r w:rsidRPr="00722810">
        <w:rPr>
          <w:rFonts w:ascii="Times New Roman" w:hAnsi="Times New Roman"/>
          <w:i/>
          <w:iCs/>
        </w:rPr>
        <w:t>Wittgenstein on Religious Belief</w:t>
      </w:r>
      <w:r w:rsidRPr="00722810">
        <w:rPr>
          <w:rFonts w:ascii="Times New Roman" w:hAnsi="Times New Roman"/>
        </w:rPr>
        <w:t>, Cambridge, Cambridge University Press.</w:t>
      </w:r>
    </w:p>
    <w:p w14:paraId="4A05955D" w14:textId="2E0DD232" w:rsidR="009A484C" w:rsidRPr="00267352" w:rsidRDefault="009A484C" w:rsidP="00573282">
      <w:pPr>
        <w:widowControl w:val="0"/>
        <w:autoSpaceDE w:val="0"/>
        <w:autoSpaceDN w:val="0"/>
        <w:adjustRightInd w:val="0"/>
        <w:ind w:left="720" w:hanging="720"/>
        <w:contextualSpacing/>
        <w:jc w:val="both"/>
        <w:rPr>
          <w:rFonts w:ascii="Times New Roman" w:hAnsi="Times New Roman"/>
        </w:rPr>
      </w:pPr>
      <w:proofErr w:type="spellStart"/>
      <w:r>
        <w:rPr>
          <w:rFonts w:ascii="Times New Roman" w:hAnsi="Times New Roman"/>
        </w:rPr>
        <w:t>Snobelen</w:t>
      </w:r>
      <w:proofErr w:type="spellEnd"/>
      <w:r>
        <w:rPr>
          <w:rFonts w:ascii="Times New Roman" w:hAnsi="Times New Roman"/>
        </w:rPr>
        <w:t>, S. D. 1999 “</w:t>
      </w:r>
      <w:r w:rsidRPr="009A484C">
        <w:rPr>
          <w:rFonts w:ascii="Times New Roman" w:hAnsi="Times New Roman"/>
        </w:rPr>
        <w:t xml:space="preserve">Isaac Newton, </w:t>
      </w:r>
      <w:r>
        <w:rPr>
          <w:rFonts w:ascii="Times New Roman" w:hAnsi="Times New Roman"/>
        </w:rPr>
        <w:t>h</w:t>
      </w:r>
      <w:r w:rsidRPr="009A484C">
        <w:rPr>
          <w:rFonts w:ascii="Times New Roman" w:hAnsi="Times New Roman"/>
        </w:rPr>
        <w:t xml:space="preserve">eretic: The </w:t>
      </w:r>
      <w:r>
        <w:rPr>
          <w:rFonts w:ascii="Times New Roman" w:hAnsi="Times New Roman"/>
        </w:rPr>
        <w:t>s</w:t>
      </w:r>
      <w:r w:rsidRPr="009A484C">
        <w:rPr>
          <w:rFonts w:ascii="Times New Roman" w:hAnsi="Times New Roman"/>
        </w:rPr>
        <w:t>trategies of a Nicodemite</w:t>
      </w:r>
      <w:r>
        <w:rPr>
          <w:rFonts w:ascii="Times New Roman" w:hAnsi="Times New Roman"/>
        </w:rPr>
        <w:t xml:space="preserve">”, </w:t>
      </w:r>
      <w:r w:rsidR="00EB370E" w:rsidRPr="00EB370E">
        <w:rPr>
          <w:rFonts w:ascii="Times New Roman" w:hAnsi="Times New Roman"/>
          <w:i/>
          <w:iCs/>
        </w:rPr>
        <w:t>The British Journal for the History of Science</w:t>
      </w:r>
      <w:r w:rsidR="00EB370E" w:rsidRPr="00EB370E">
        <w:rPr>
          <w:rFonts w:ascii="Times New Roman" w:hAnsi="Times New Roman"/>
        </w:rPr>
        <w:t xml:space="preserve"> 32</w:t>
      </w:r>
      <w:r w:rsidR="00EB370E">
        <w:rPr>
          <w:rFonts w:ascii="Times New Roman" w:hAnsi="Times New Roman"/>
        </w:rPr>
        <w:t>/4:</w:t>
      </w:r>
      <w:r w:rsidR="00EB370E" w:rsidRPr="00EB370E">
        <w:rPr>
          <w:rFonts w:ascii="Times New Roman" w:hAnsi="Times New Roman"/>
        </w:rPr>
        <w:t xml:space="preserve"> 381-419</w:t>
      </w:r>
      <w:r w:rsidR="00065DAE">
        <w:rPr>
          <w:rFonts w:ascii="Times New Roman" w:hAnsi="Times New Roman"/>
        </w:rPr>
        <w:t>.</w:t>
      </w:r>
    </w:p>
    <w:p w14:paraId="0A70BF65" w14:textId="77777777" w:rsidR="002266D2" w:rsidRPr="00267352" w:rsidRDefault="007926CE" w:rsidP="002266D2">
      <w:pPr>
        <w:widowControl w:val="0"/>
        <w:autoSpaceDE w:val="0"/>
        <w:autoSpaceDN w:val="0"/>
        <w:adjustRightInd w:val="0"/>
        <w:ind w:left="720" w:hanging="720"/>
        <w:contextualSpacing/>
        <w:jc w:val="both"/>
        <w:rPr>
          <w:rFonts w:ascii="Times New Roman" w:hAnsi="Times New Roman"/>
        </w:rPr>
      </w:pPr>
      <w:r w:rsidRPr="005675E1">
        <w:rPr>
          <w:rFonts w:ascii="Times New Roman" w:hAnsi="Times New Roman"/>
        </w:rPr>
        <w:t>Wittgenstein, L. 19</w:t>
      </w:r>
      <w:r>
        <w:rPr>
          <w:rFonts w:ascii="Times New Roman" w:hAnsi="Times New Roman"/>
        </w:rPr>
        <w:t>53</w:t>
      </w:r>
      <w:r w:rsidRPr="005675E1">
        <w:rPr>
          <w:rFonts w:ascii="Times New Roman" w:hAnsi="Times New Roman"/>
        </w:rPr>
        <w:t xml:space="preserve"> </w:t>
      </w:r>
      <w:r>
        <w:rPr>
          <w:rFonts w:ascii="Times New Roman" w:hAnsi="Times New Roman"/>
          <w:i/>
        </w:rPr>
        <w:t>Philosophical Investigations</w:t>
      </w:r>
      <w:r>
        <w:rPr>
          <w:rFonts w:ascii="Times New Roman" w:hAnsi="Times New Roman"/>
        </w:rPr>
        <w:t xml:space="preserve">, </w:t>
      </w:r>
      <w:r w:rsidRPr="005675E1">
        <w:rPr>
          <w:rFonts w:ascii="Times New Roman" w:hAnsi="Times New Roman"/>
        </w:rPr>
        <w:t>Oxford: Blackwell</w:t>
      </w:r>
      <w:r>
        <w:rPr>
          <w:rFonts w:ascii="Times New Roman" w:hAnsi="Times New Roman"/>
        </w:rPr>
        <w:t>.</w:t>
      </w:r>
    </w:p>
    <w:p w14:paraId="1157B901" w14:textId="77777777" w:rsidR="00B868D3" w:rsidRPr="00267352" w:rsidRDefault="007926CE" w:rsidP="00B868D3">
      <w:pPr>
        <w:widowControl w:val="0"/>
        <w:autoSpaceDE w:val="0"/>
        <w:autoSpaceDN w:val="0"/>
        <w:adjustRightInd w:val="0"/>
        <w:ind w:left="720" w:hanging="720"/>
        <w:contextualSpacing/>
        <w:jc w:val="both"/>
        <w:rPr>
          <w:rFonts w:ascii="Times New Roman" w:hAnsi="Times New Roman"/>
        </w:rPr>
      </w:pPr>
      <w:r w:rsidRPr="00B868D3">
        <w:rPr>
          <w:rFonts w:ascii="Times New Roman" w:hAnsi="Times New Roman" w:cs="Times New Roman"/>
        </w:rPr>
        <w:t xml:space="preserve">Wittgenstein, L. 1969 </w:t>
      </w:r>
      <w:r w:rsidRPr="00B868D3">
        <w:rPr>
          <w:rFonts w:ascii="Times New Roman" w:hAnsi="Times New Roman" w:cs="Times New Roman"/>
          <w:i/>
        </w:rPr>
        <w:t>On Certainty</w:t>
      </w:r>
      <w:r w:rsidRPr="00B868D3">
        <w:rPr>
          <w:rFonts w:ascii="Times New Roman" w:hAnsi="Times New Roman" w:cs="Times New Roman"/>
        </w:rPr>
        <w:t>, Oxford: Blackwell.</w:t>
      </w:r>
    </w:p>
    <w:p w14:paraId="4733D80E" w14:textId="6D61198D" w:rsidR="00B868D3" w:rsidRPr="00B868D3" w:rsidRDefault="00B868D3" w:rsidP="00B868D3">
      <w:pPr>
        <w:spacing w:after="0" w:line="360" w:lineRule="auto"/>
        <w:jc w:val="both"/>
        <w:rPr>
          <w:rFonts w:ascii="Times New Roman" w:hAnsi="Times New Roman" w:cs="Times New Roman"/>
        </w:rPr>
      </w:pPr>
      <w:r w:rsidRPr="00B868D3">
        <w:rPr>
          <w:rFonts w:ascii="Times New Roman" w:hAnsi="Times New Roman" w:cs="Times New Roman"/>
        </w:rPr>
        <w:t xml:space="preserve">Wittgenstein, L. 1980 </w:t>
      </w:r>
      <w:r w:rsidRPr="00B868D3">
        <w:rPr>
          <w:rFonts w:ascii="Times New Roman" w:hAnsi="Times New Roman" w:cs="Times New Roman"/>
          <w:i/>
        </w:rPr>
        <w:t>Culture and Value</w:t>
      </w:r>
      <w:r w:rsidRPr="00B868D3">
        <w:rPr>
          <w:rFonts w:ascii="Times New Roman" w:hAnsi="Times New Roman" w:cs="Times New Roman"/>
        </w:rPr>
        <w:t>, Oxford, Blackwell.</w:t>
      </w:r>
    </w:p>
    <w:p w14:paraId="09CA189A" w14:textId="12BD1AC4" w:rsidR="00A43A8B" w:rsidRPr="00883029" w:rsidRDefault="00A43A8B" w:rsidP="007926CE">
      <w:pPr>
        <w:spacing w:after="120" w:line="360" w:lineRule="auto"/>
        <w:jc w:val="both"/>
        <w:rPr>
          <w:rFonts w:ascii="Times New Roman" w:hAnsi="Times New Roman" w:cs="Times New Roman"/>
        </w:rPr>
      </w:pPr>
    </w:p>
    <w:sectPr w:rsidR="00A43A8B" w:rsidRPr="0088302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DB74" w14:textId="77777777" w:rsidR="003A2D32" w:rsidRDefault="003A2D32" w:rsidP="00AB498F">
      <w:pPr>
        <w:spacing w:after="0" w:line="240" w:lineRule="auto"/>
      </w:pPr>
      <w:r>
        <w:separator/>
      </w:r>
    </w:p>
  </w:endnote>
  <w:endnote w:type="continuationSeparator" w:id="0">
    <w:p w14:paraId="2AE5EFE5" w14:textId="77777777" w:rsidR="003A2D32" w:rsidRDefault="003A2D32" w:rsidP="00AB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55739"/>
      <w:docPartObj>
        <w:docPartGallery w:val="Page Numbers (Bottom of Page)"/>
        <w:docPartUnique/>
      </w:docPartObj>
    </w:sdtPr>
    <w:sdtEndPr>
      <w:rPr>
        <w:noProof/>
      </w:rPr>
    </w:sdtEndPr>
    <w:sdtContent>
      <w:p w14:paraId="2454EB35" w14:textId="20EF3B66" w:rsidR="00454DEB" w:rsidRDefault="00454D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1BBE4" w14:textId="77777777" w:rsidR="00454DEB" w:rsidRDefault="0045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A8F5" w14:textId="77777777" w:rsidR="003A2D32" w:rsidRDefault="003A2D32" w:rsidP="00AB498F">
      <w:pPr>
        <w:spacing w:after="0" w:line="240" w:lineRule="auto"/>
      </w:pPr>
      <w:r>
        <w:separator/>
      </w:r>
    </w:p>
  </w:footnote>
  <w:footnote w:type="continuationSeparator" w:id="0">
    <w:p w14:paraId="01991009" w14:textId="77777777" w:rsidR="003A2D32" w:rsidRDefault="003A2D32" w:rsidP="00AB498F">
      <w:pPr>
        <w:spacing w:after="0" w:line="240" w:lineRule="auto"/>
      </w:pPr>
      <w:r>
        <w:continuationSeparator/>
      </w:r>
    </w:p>
  </w:footnote>
  <w:footnote w:id="1">
    <w:p w14:paraId="50AAB330" w14:textId="57D0F7D3" w:rsidR="00780B1A" w:rsidRPr="0091594E" w:rsidRDefault="00FA0ED9" w:rsidP="0091594E">
      <w:pPr>
        <w:pStyle w:val="FootnoteText"/>
        <w:spacing w:after="120" w:line="360" w:lineRule="auto"/>
        <w:jc w:val="both"/>
        <w:rPr>
          <w:rFonts w:ascii="Times New Roman" w:hAnsi="Times New Roman" w:cs="Times New Roman"/>
        </w:rPr>
      </w:pPr>
      <w:r w:rsidRPr="0091594E">
        <w:rPr>
          <w:rStyle w:val="FootnoteReference"/>
          <w:rFonts w:ascii="Times New Roman" w:hAnsi="Times New Roman" w:cs="Times New Roman"/>
        </w:rPr>
        <w:footnoteRef/>
      </w:r>
      <w:r w:rsidRPr="0091594E">
        <w:rPr>
          <w:rFonts w:ascii="Times New Roman" w:hAnsi="Times New Roman" w:cs="Times New Roman"/>
        </w:rPr>
        <w:t xml:space="preserve"> Many thanks to </w:t>
      </w:r>
      <w:r w:rsidR="0091594E" w:rsidRPr="0091594E">
        <w:rPr>
          <w:rFonts w:ascii="Times New Roman" w:hAnsi="Times New Roman" w:cs="Times New Roman"/>
        </w:rPr>
        <w:t>Marco Panza and Michele Palmira for their comments on previous versions of this chapter.</w:t>
      </w:r>
      <w:r w:rsidR="0091594E">
        <w:rPr>
          <w:rFonts w:ascii="Times New Roman" w:hAnsi="Times New Roman" w:cs="Times New Roman"/>
        </w:rPr>
        <w:t xml:space="preserve"> </w:t>
      </w:r>
      <w:r w:rsidR="000271F6">
        <w:rPr>
          <w:rFonts w:ascii="Times New Roman" w:hAnsi="Times New Roman" w:cs="Times New Roman"/>
        </w:rPr>
        <w:t xml:space="preserve">This chapter has been written </w:t>
      </w:r>
      <w:r w:rsidR="00790F47">
        <w:rPr>
          <w:rFonts w:ascii="Times New Roman" w:hAnsi="Times New Roman" w:cs="Times New Roman"/>
        </w:rPr>
        <w:t>while being a member of</w:t>
      </w:r>
      <w:r w:rsidR="000271F6">
        <w:rPr>
          <w:rFonts w:ascii="Times New Roman" w:hAnsi="Times New Roman" w:cs="Times New Roman"/>
        </w:rPr>
        <w:t xml:space="preserve"> the FAR </w:t>
      </w:r>
      <w:r w:rsidR="00966811">
        <w:rPr>
          <w:rFonts w:ascii="Times New Roman" w:hAnsi="Times New Roman" w:cs="Times New Roman"/>
        </w:rPr>
        <w:t xml:space="preserve">2023 </w:t>
      </w:r>
      <w:r w:rsidR="00141E53">
        <w:rPr>
          <w:rFonts w:ascii="Times New Roman" w:hAnsi="Times New Roman" w:cs="Times New Roman"/>
        </w:rPr>
        <w:t xml:space="preserve">Interdisciplinary </w:t>
      </w:r>
      <w:r w:rsidR="000271F6">
        <w:rPr>
          <w:rFonts w:ascii="Times New Roman" w:hAnsi="Times New Roman" w:cs="Times New Roman"/>
        </w:rPr>
        <w:t xml:space="preserve">Project </w:t>
      </w:r>
      <w:r w:rsidR="00966811">
        <w:rPr>
          <w:rFonts w:ascii="Times New Roman" w:hAnsi="Times New Roman" w:cs="Times New Roman"/>
        </w:rPr>
        <w:t>“</w:t>
      </w:r>
      <w:r w:rsidR="00966811" w:rsidRPr="00966811">
        <w:rPr>
          <w:rFonts w:ascii="Times New Roman" w:hAnsi="Times New Roman" w:cs="Times New Roman"/>
        </w:rPr>
        <w:t xml:space="preserve">La </w:t>
      </w:r>
      <w:proofErr w:type="spellStart"/>
      <w:r w:rsidR="00966811" w:rsidRPr="00966811">
        <w:rPr>
          <w:rFonts w:ascii="Times New Roman" w:hAnsi="Times New Roman" w:cs="Times New Roman"/>
        </w:rPr>
        <w:t>risoluzione</w:t>
      </w:r>
      <w:proofErr w:type="spellEnd"/>
      <w:r w:rsidR="00966811" w:rsidRPr="00966811">
        <w:rPr>
          <w:rFonts w:ascii="Times New Roman" w:hAnsi="Times New Roman" w:cs="Times New Roman"/>
        </w:rPr>
        <w:t xml:space="preserve"> </w:t>
      </w:r>
      <w:proofErr w:type="spellStart"/>
      <w:r w:rsidR="00966811" w:rsidRPr="00966811">
        <w:rPr>
          <w:rFonts w:ascii="Times New Roman" w:hAnsi="Times New Roman" w:cs="Times New Roman"/>
        </w:rPr>
        <w:t>dei</w:t>
      </w:r>
      <w:proofErr w:type="spellEnd"/>
      <w:r w:rsidR="00966811" w:rsidRPr="00966811">
        <w:rPr>
          <w:rFonts w:ascii="Times New Roman" w:hAnsi="Times New Roman" w:cs="Times New Roman"/>
        </w:rPr>
        <w:t xml:space="preserve"> </w:t>
      </w:r>
      <w:proofErr w:type="spellStart"/>
      <w:r w:rsidR="00966811" w:rsidRPr="00966811">
        <w:rPr>
          <w:rFonts w:ascii="Times New Roman" w:hAnsi="Times New Roman" w:cs="Times New Roman"/>
        </w:rPr>
        <w:t>conflitti</w:t>
      </w:r>
      <w:proofErr w:type="spellEnd"/>
      <w:r w:rsidR="00966811" w:rsidRPr="00966811">
        <w:rPr>
          <w:rFonts w:ascii="Times New Roman" w:hAnsi="Times New Roman" w:cs="Times New Roman"/>
        </w:rPr>
        <w:t xml:space="preserve"> </w:t>
      </w:r>
      <w:proofErr w:type="spellStart"/>
      <w:r w:rsidR="00966811" w:rsidRPr="00966811">
        <w:rPr>
          <w:rFonts w:ascii="Times New Roman" w:hAnsi="Times New Roman" w:cs="Times New Roman"/>
        </w:rPr>
        <w:t>tramite</w:t>
      </w:r>
      <w:proofErr w:type="spellEnd"/>
      <w:r w:rsidR="00966811" w:rsidRPr="00966811">
        <w:rPr>
          <w:rFonts w:ascii="Times New Roman" w:hAnsi="Times New Roman" w:cs="Times New Roman"/>
        </w:rPr>
        <w:t xml:space="preserve"> </w:t>
      </w:r>
      <w:proofErr w:type="spellStart"/>
      <w:r w:rsidR="00966811" w:rsidRPr="00966811">
        <w:rPr>
          <w:rFonts w:ascii="Times New Roman" w:hAnsi="Times New Roman" w:cs="Times New Roman"/>
        </w:rPr>
        <w:t>l’appello</w:t>
      </w:r>
      <w:proofErr w:type="spellEnd"/>
      <w:r w:rsidR="00966811" w:rsidRPr="00966811">
        <w:rPr>
          <w:rFonts w:ascii="Times New Roman" w:hAnsi="Times New Roman" w:cs="Times New Roman"/>
        </w:rPr>
        <w:t xml:space="preserve"> </w:t>
      </w:r>
      <w:proofErr w:type="spellStart"/>
      <w:r w:rsidR="00966811" w:rsidRPr="00966811">
        <w:rPr>
          <w:rFonts w:ascii="Times New Roman" w:hAnsi="Times New Roman" w:cs="Times New Roman"/>
        </w:rPr>
        <w:t>all’autorità</w:t>
      </w:r>
      <w:proofErr w:type="spellEnd"/>
      <w:r w:rsidR="00966811" w:rsidRPr="00966811">
        <w:rPr>
          <w:rFonts w:ascii="Times New Roman" w:hAnsi="Times New Roman" w:cs="Times New Roman"/>
        </w:rPr>
        <w:t xml:space="preserve"> religiosa o </w:t>
      </w:r>
      <w:proofErr w:type="spellStart"/>
      <w:r w:rsidR="00966811" w:rsidRPr="00966811">
        <w:rPr>
          <w:rFonts w:ascii="Times New Roman" w:hAnsi="Times New Roman" w:cs="Times New Roman"/>
        </w:rPr>
        <w:t>etica</w:t>
      </w:r>
      <w:proofErr w:type="spellEnd"/>
      <w:r w:rsidR="00A97088">
        <w:rPr>
          <w:rFonts w:ascii="Times New Roman" w:hAnsi="Times New Roman" w:cs="Times New Roman"/>
        </w:rPr>
        <w:t>”</w:t>
      </w:r>
      <w:r w:rsidR="00141E53">
        <w:rPr>
          <w:rFonts w:ascii="Times New Roman" w:hAnsi="Times New Roman" w:cs="Times New Roman"/>
        </w:rPr>
        <w:t xml:space="preserve"> (</w:t>
      </w:r>
      <w:r w:rsidR="00141E53" w:rsidRPr="00141E53">
        <w:rPr>
          <w:rFonts w:ascii="Times New Roman" w:hAnsi="Times New Roman" w:cs="Times New Roman"/>
        </w:rPr>
        <w:t>CUP E83C23002460001</w:t>
      </w:r>
      <w:r w:rsidR="00141E53">
        <w:rPr>
          <w:rFonts w:ascii="Times New Roman" w:hAnsi="Times New Roman" w:cs="Times New Roman"/>
        </w:rPr>
        <w:t>)</w:t>
      </w:r>
      <w:r w:rsidR="000271F6">
        <w:rPr>
          <w:rFonts w:ascii="Times New Roman" w:hAnsi="Times New Roman" w:cs="Times New Roman"/>
        </w:rPr>
        <w:t xml:space="preserve">, University of Modena and Reggio Emilia, PI: Professor Carla Bagnoli. Many thanks to </w:t>
      </w:r>
      <w:r w:rsidR="002041B6">
        <w:rPr>
          <w:rFonts w:ascii="Times New Roman" w:hAnsi="Times New Roman" w:cs="Times New Roman"/>
        </w:rPr>
        <w:t>Professor Bagnoli and to the other members of the research group for their feedback.</w:t>
      </w:r>
    </w:p>
  </w:footnote>
  <w:footnote w:id="2">
    <w:p w14:paraId="62955470" w14:textId="0F57EE3C" w:rsidR="00D9744A" w:rsidRPr="00067355" w:rsidRDefault="00D9744A" w:rsidP="00D9744A">
      <w:pPr>
        <w:pStyle w:val="FootnoteText"/>
        <w:spacing w:after="120" w:line="360" w:lineRule="auto"/>
        <w:jc w:val="both"/>
        <w:rPr>
          <w:rFonts w:ascii="Times New Roman" w:hAnsi="Times New Roman" w:cs="Times New Roman"/>
        </w:rPr>
      </w:pPr>
      <w:r w:rsidRPr="00406907">
        <w:rPr>
          <w:rStyle w:val="FootnoteReference"/>
          <w:rFonts w:ascii="Times New Roman" w:hAnsi="Times New Roman" w:cs="Times New Roman"/>
        </w:rPr>
        <w:footnoteRef/>
      </w:r>
      <w:r w:rsidRPr="00406907">
        <w:rPr>
          <w:rFonts w:ascii="Times New Roman" w:hAnsi="Times New Roman" w:cs="Times New Roman"/>
        </w:rPr>
        <w:t xml:space="preserve"> S</w:t>
      </w:r>
      <w:r>
        <w:rPr>
          <w:rFonts w:ascii="Times New Roman" w:hAnsi="Times New Roman" w:cs="Times New Roman"/>
        </w:rPr>
        <w:t xml:space="preserve">ee Pritchard (2000, 2011, 2015, 2017, 2024), </w:t>
      </w:r>
      <w:proofErr w:type="spellStart"/>
      <w:r>
        <w:rPr>
          <w:rFonts w:ascii="Times New Roman" w:hAnsi="Times New Roman" w:cs="Times New Roman"/>
        </w:rPr>
        <w:t>Schönbaumsfeld</w:t>
      </w:r>
      <w:proofErr w:type="spellEnd"/>
      <w:r>
        <w:rPr>
          <w:rFonts w:ascii="Times New Roman" w:hAnsi="Times New Roman" w:cs="Times New Roman"/>
        </w:rPr>
        <w:t xml:space="preserve"> (2007, 2023)</w:t>
      </w:r>
      <w:r w:rsidR="000547DF">
        <w:rPr>
          <w:rFonts w:ascii="Times New Roman" w:hAnsi="Times New Roman" w:cs="Times New Roman"/>
        </w:rPr>
        <w:t xml:space="preserve">, Coliva </w:t>
      </w:r>
      <w:r w:rsidR="005067B2">
        <w:rPr>
          <w:rFonts w:ascii="Times New Roman" w:hAnsi="Times New Roman" w:cs="Times New Roman"/>
        </w:rPr>
        <w:t>(</w:t>
      </w:r>
      <w:r w:rsidR="000547DF">
        <w:rPr>
          <w:rFonts w:ascii="Times New Roman" w:hAnsi="Times New Roman" w:cs="Times New Roman"/>
        </w:rPr>
        <w:t>2025a, b</w:t>
      </w:r>
      <w:r w:rsidR="005067B2">
        <w:rPr>
          <w:rFonts w:ascii="Times New Roman" w:hAnsi="Times New Roman" w:cs="Times New Roman"/>
        </w:rPr>
        <w:t>)</w:t>
      </w:r>
      <w:r w:rsidR="000547DF">
        <w:rPr>
          <w:rFonts w:ascii="Times New Roman" w:hAnsi="Times New Roman" w:cs="Times New Roman"/>
        </w:rPr>
        <w:t>,</w:t>
      </w:r>
      <w:r>
        <w:rPr>
          <w:rFonts w:ascii="Times New Roman" w:hAnsi="Times New Roman" w:cs="Times New Roman"/>
        </w:rPr>
        <w:t xml:space="preserve"> and Coliva, Pritchard and </w:t>
      </w:r>
      <w:proofErr w:type="spellStart"/>
      <w:r>
        <w:rPr>
          <w:rFonts w:ascii="Times New Roman" w:hAnsi="Times New Roman" w:cs="Times New Roman"/>
        </w:rPr>
        <w:t>Schönbaumsfeld</w:t>
      </w:r>
      <w:proofErr w:type="spellEnd"/>
      <w:r>
        <w:rPr>
          <w:rFonts w:ascii="Times New Roman" w:hAnsi="Times New Roman" w:cs="Times New Roman"/>
        </w:rPr>
        <w:t xml:space="preserve">, </w:t>
      </w:r>
      <w:proofErr w:type="spellStart"/>
      <w:r>
        <w:rPr>
          <w:rFonts w:ascii="Times New Roman" w:hAnsi="Times New Roman" w:cs="Times New Roman"/>
        </w:rPr>
        <w:t>ms.</w:t>
      </w:r>
      <w:proofErr w:type="spellEnd"/>
    </w:p>
  </w:footnote>
  <w:footnote w:id="3">
    <w:p w14:paraId="5779B165" w14:textId="14B445B0" w:rsidR="00AB498F" w:rsidRPr="00067355" w:rsidRDefault="00AB498F" w:rsidP="00243EE3">
      <w:pPr>
        <w:pStyle w:val="FootnoteText"/>
        <w:spacing w:after="120" w:line="360" w:lineRule="auto"/>
        <w:jc w:val="both"/>
        <w:rPr>
          <w:rFonts w:ascii="Times New Roman" w:hAnsi="Times New Roman" w:cs="Times New Roman"/>
        </w:rPr>
      </w:pPr>
      <w:r w:rsidRPr="00067355">
        <w:rPr>
          <w:rStyle w:val="FootnoteReference"/>
          <w:rFonts w:ascii="Times New Roman" w:hAnsi="Times New Roman" w:cs="Times New Roman"/>
        </w:rPr>
        <w:footnoteRef/>
      </w:r>
      <w:r w:rsidRPr="00067355">
        <w:rPr>
          <w:rFonts w:ascii="Times New Roman" w:hAnsi="Times New Roman" w:cs="Times New Roman"/>
        </w:rPr>
        <w:t xml:space="preserve"> Conflict </w:t>
      </w:r>
      <w:r w:rsidR="00AC7422" w:rsidRPr="00067355">
        <w:rPr>
          <w:rFonts w:ascii="Times New Roman" w:hAnsi="Times New Roman" w:cs="Times New Roman"/>
        </w:rPr>
        <w:t xml:space="preserve">requires confrontation, whereas disagreement may ensue also between views or beliefs held by people at different times and places, who </w:t>
      </w:r>
      <w:r w:rsidR="00E60C57" w:rsidRPr="00067355">
        <w:rPr>
          <w:rFonts w:ascii="Times New Roman" w:hAnsi="Times New Roman" w:cs="Times New Roman"/>
        </w:rPr>
        <w:t>are not confronting one another.</w:t>
      </w:r>
    </w:p>
  </w:footnote>
  <w:footnote w:id="4">
    <w:p w14:paraId="666BF45B" w14:textId="618B06AF" w:rsidR="00E70639" w:rsidRPr="007D692E" w:rsidRDefault="00E70639" w:rsidP="007D692E">
      <w:pPr>
        <w:pStyle w:val="FootnoteText"/>
        <w:spacing w:after="120" w:line="360" w:lineRule="auto"/>
        <w:jc w:val="both"/>
        <w:rPr>
          <w:rFonts w:ascii="Times New Roman" w:hAnsi="Times New Roman" w:cs="Times New Roman"/>
        </w:rPr>
      </w:pPr>
      <w:r w:rsidRPr="007D692E">
        <w:rPr>
          <w:rStyle w:val="FootnoteReference"/>
          <w:rFonts w:ascii="Times New Roman" w:hAnsi="Times New Roman" w:cs="Times New Roman"/>
        </w:rPr>
        <w:footnoteRef/>
      </w:r>
      <w:r w:rsidRPr="007D692E">
        <w:rPr>
          <w:rFonts w:ascii="Times New Roman" w:hAnsi="Times New Roman" w:cs="Times New Roman"/>
        </w:rPr>
        <w:t xml:space="preserve"> Epistemic reasons are reasons that bear on the truth of a belief</w:t>
      </w:r>
      <w:r w:rsidR="009D5B9B" w:rsidRPr="007D692E">
        <w:rPr>
          <w:rFonts w:ascii="Times New Roman" w:hAnsi="Times New Roman" w:cs="Times New Roman"/>
        </w:rPr>
        <w:t xml:space="preserve"> – to put it contentiously, </w:t>
      </w:r>
      <w:r w:rsidR="007D692E" w:rsidRPr="007D692E">
        <w:rPr>
          <w:rFonts w:ascii="Times New Roman" w:hAnsi="Times New Roman" w:cs="Times New Roman"/>
        </w:rPr>
        <w:t xml:space="preserve">they are those reasons </w:t>
      </w:r>
      <w:r w:rsidR="009D5B9B" w:rsidRPr="007D692E">
        <w:rPr>
          <w:rFonts w:ascii="Times New Roman" w:hAnsi="Times New Roman" w:cs="Times New Roman"/>
        </w:rPr>
        <w:t xml:space="preserve">that make it more probable for the belief to be true. A classic example is </w:t>
      </w:r>
      <w:r w:rsidR="00443DEB" w:rsidRPr="007D692E">
        <w:rPr>
          <w:rFonts w:ascii="Times New Roman" w:hAnsi="Times New Roman" w:cs="Times New Roman"/>
        </w:rPr>
        <w:t xml:space="preserve">a perceptual experience </w:t>
      </w:r>
      <w:r w:rsidR="007D692E" w:rsidRPr="007D692E">
        <w:rPr>
          <w:rFonts w:ascii="Times New Roman" w:hAnsi="Times New Roman" w:cs="Times New Roman"/>
        </w:rPr>
        <w:t xml:space="preserve">with a given content that </w:t>
      </w:r>
      <w:r w:rsidR="007D692E" w:rsidRPr="007D692E">
        <w:rPr>
          <w:rFonts w:ascii="Times New Roman" w:hAnsi="Times New Roman" w:cs="Times New Roman"/>
          <w:i/>
          <w:iCs/>
        </w:rPr>
        <w:t>p</w:t>
      </w:r>
      <w:r w:rsidR="007D692E" w:rsidRPr="007D692E">
        <w:rPr>
          <w:rFonts w:ascii="Times New Roman" w:hAnsi="Times New Roman" w:cs="Times New Roman"/>
        </w:rPr>
        <w:t xml:space="preserve"> and the corresponding belief that </w:t>
      </w:r>
      <w:r w:rsidR="007D692E" w:rsidRPr="007D692E">
        <w:rPr>
          <w:rFonts w:ascii="Times New Roman" w:hAnsi="Times New Roman" w:cs="Times New Roman"/>
          <w:i/>
          <w:iCs/>
        </w:rPr>
        <w:t>p</w:t>
      </w:r>
      <w:r w:rsidR="007D692E" w:rsidRPr="007D692E">
        <w:rPr>
          <w:rFonts w:ascii="Times New Roman" w:hAnsi="Times New Roman" w:cs="Times New Roman"/>
        </w:rPr>
        <w:t>.</w:t>
      </w:r>
      <w:r w:rsidR="007D692E">
        <w:rPr>
          <w:rFonts w:ascii="Times New Roman" w:hAnsi="Times New Roman" w:cs="Times New Roman"/>
        </w:rPr>
        <w:t xml:space="preserve"> Epistemic reasons are normally contrasted with pragmatic ones</w:t>
      </w:r>
      <w:r w:rsidR="005030D1">
        <w:rPr>
          <w:rFonts w:ascii="Times New Roman" w:hAnsi="Times New Roman" w:cs="Times New Roman"/>
        </w:rPr>
        <w:t xml:space="preserve"> – that is, with those reasons which while not bearing on the truth of a given belief</w:t>
      </w:r>
      <w:r w:rsidR="00605631">
        <w:rPr>
          <w:rFonts w:ascii="Times New Roman" w:hAnsi="Times New Roman" w:cs="Times New Roman"/>
        </w:rPr>
        <w:t>, make that belief advisable or useful, given a certain end.</w:t>
      </w:r>
      <w:r w:rsidR="0044575B">
        <w:rPr>
          <w:rFonts w:ascii="Times New Roman" w:hAnsi="Times New Roman" w:cs="Times New Roman"/>
        </w:rPr>
        <w:t xml:space="preserve"> A </w:t>
      </w:r>
      <w:r w:rsidR="00B02928">
        <w:rPr>
          <w:rFonts w:ascii="Times New Roman" w:hAnsi="Times New Roman" w:cs="Times New Roman"/>
        </w:rPr>
        <w:t>classic contrast in the religious domain is exemplified by Pascal’s wager. Roughly, belief in God is useful to salvation</w:t>
      </w:r>
      <w:r w:rsidR="00B731AB">
        <w:rPr>
          <w:rFonts w:ascii="Times New Roman" w:hAnsi="Times New Roman" w:cs="Times New Roman"/>
        </w:rPr>
        <w:t xml:space="preserve"> and given the relevance of the end, it is therefore advisable. Yet, this isn’t a way of corroborating </w:t>
      </w:r>
      <w:r w:rsidR="00626820">
        <w:rPr>
          <w:rFonts w:ascii="Times New Roman" w:hAnsi="Times New Roman" w:cs="Times New Roman"/>
        </w:rPr>
        <w:t>the</w:t>
      </w:r>
      <w:r w:rsidR="00B731AB">
        <w:rPr>
          <w:rFonts w:ascii="Times New Roman" w:hAnsi="Times New Roman" w:cs="Times New Roman"/>
        </w:rPr>
        <w:t xml:space="preserve"> truth</w:t>
      </w:r>
      <w:r w:rsidR="00626820">
        <w:rPr>
          <w:rFonts w:ascii="Times New Roman" w:hAnsi="Times New Roman" w:cs="Times New Roman"/>
        </w:rPr>
        <w:t xml:space="preserve"> of its content – i.e. “God exists”</w:t>
      </w:r>
      <w:r w:rsidR="00B731AB">
        <w:rPr>
          <w:rFonts w:ascii="Times New Roman" w:hAnsi="Times New Roman" w:cs="Times New Roman"/>
        </w:rPr>
        <w:t>.</w:t>
      </w:r>
      <w:r w:rsidR="00A61463">
        <w:rPr>
          <w:rFonts w:ascii="Times New Roman" w:hAnsi="Times New Roman" w:cs="Times New Roman"/>
        </w:rPr>
        <w:t xml:space="preserve"> In this chapter we are concerned mainly with epistemic reasons</w:t>
      </w:r>
      <w:r w:rsidR="00065023">
        <w:rPr>
          <w:rFonts w:ascii="Times New Roman" w:hAnsi="Times New Roman" w:cs="Times New Roman"/>
        </w:rPr>
        <w:t xml:space="preserve"> and epistemic disagreements in the religious domain.</w:t>
      </w:r>
    </w:p>
  </w:footnote>
  <w:footnote w:id="5">
    <w:p w14:paraId="74E2136B" w14:textId="79EF3814" w:rsidR="000C6899" w:rsidRPr="00F27093" w:rsidRDefault="000C6899" w:rsidP="00F27093">
      <w:pPr>
        <w:pStyle w:val="FootnoteText"/>
        <w:spacing w:after="120" w:line="360" w:lineRule="auto"/>
        <w:jc w:val="both"/>
        <w:rPr>
          <w:rFonts w:ascii="Times New Roman" w:hAnsi="Times New Roman" w:cs="Times New Roman"/>
        </w:rPr>
      </w:pPr>
      <w:r w:rsidRPr="00F27093">
        <w:rPr>
          <w:rStyle w:val="FootnoteReference"/>
          <w:rFonts w:ascii="Times New Roman" w:hAnsi="Times New Roman" w:cs="Times New Roman"/>
        </w:rPr>
        <w:footnoteRef/>
      </w:r>
      <w:r w:rsidRPr="00F27093">
        <w:rPr>
          <w:rFonts w:ascii="Times New Roman" w:hAnsi="Times New Roman" w:cs="Times New Roman"/>
        </w:rPr>
        <w:t xml:space="preserve"> The issue of whether </w:t>
      </w:r>
      <w:r w:rsidR="003F4CB8" w:rsidRPr="00F27093">
        <w:rPr>
          <w:rFonts w:ascii="Times New Roman" w:hAnsi="Times New Roman" w:cs="Times New Roman"/>
        </w:rPr>
        <w:t xml:space="preserve">hinge propositions are truth-apt is moot in OC and different hinge epistemologists take opposite stances with respect to it. </w:t>
      </w:r>
      <w:r w:rsidR="003F4CB8" w:rsidRPr="009B39FC">
        <w:rPr>
          <w:rFonts w:ascii="Times New Roman" w:hAnsi="Times New Roman" w:cs="Times New Roman"/>
        </w:rPr>
        <w:t>Coliva (2015, 2022)</w:t>
      </w:r>
      <w:r w:rsidR="003F4CB8" w:rsidRPr="00F27093">
        <w:rPr>
          <w:rFonts w:ascii="Times New Roman" w:hAnsi="Times New Roman" w:cs="Times New Roman"/>
        </w:rPr>
        <w:t xml:space="preserve"> defends the view that </w:t>
      </w:r>
      <w:r w:rsidR="000F19DA" w:rsidRPr="00F27093">
        <w:rPr>
          <w:rFonts w:ascii="Times New Roman" w:hAnsi="Times New Roman" w:cs="Times New Roman"/>
        </w:rPr>
        <w:t xml:space="preserve">they are true in a minimalist sense, which doesn’t involve the correspondence with mind-independent facts or </w:t>
      </w:r>
      <w:r w:rsidR="00F27093" w:rsidRPr="00F27093">
        <w:rPr>
          <w:rFonts w:ascii="Times New Roman" w:hAnsi="Times New Roman" w:cs="Times New Roman"/>
        </w:rPr>
        <w:t xml:space="preserve">justification at the end of inquiry, etc. </w:t>
      </w:r>
    </w:p>
  </w:footnote>
  <w:footnote w:id="6">
    <w:p w14:paraId="24E91BDE" w14:textId="12D402A3" w:rsidR="00243EE3" w:rsidRPr="00067355" w:rsidRDefault="00243EE3" w:rsidP="00243EE3">
      <w:pPr>
        <w:pStyle w:val="FootnoteText"/>
        <w:spacing w:after="120" w:line="360" w:lineRule="auto"/>
        <w:jc w:val="both"/>
        <w:rPr>
          <w:rFonts w:ascii="Times New Roman" w:hAnsi="Times New Roman" w:cs="Times New Roman"/>
        </w:rPr>
      </w:pPr>
      <w:r w:rsidRPr="00B33B57">
        <w:rPr>
          <w:rStyle w:val="FootnoteReference"/>
          <w:rFonts w:ascii="Times New Roman" w:hAnsi="Times New Roman" w:cs="Times New Roman"/>
        </w:rPr>
        <w:footnoteRef/>
      </w:r>
      <w:r w:rsidRPr="00B33B57">
        <w:rPr>
          <w:rFonts w:ascii="Times New Roman" w:hAnsi="Times New Roman" w:cs="Times New Roman"/>
        </w:rPr>
        <w:t xml:space="preserve"> </w:t>
      </w:r>
      <w:r w:rsidR="00933C1C">
        <w:rPr>
          <w:rFonts w:ascii="Times New Roman" w:hAnsi="Times New Roman" w:cs="Times New Roman"/>
        </w:rPr>
        <w:t>For an overview, see Coliva (20</w:t>
      </w:r>
      <w:r w:rsidR="00B33B57">
        <w:rPr>
          <w:rFonts w:ascii="Times New Roman" w:hAnsi="Times New Roman" w:cs="Times New Roman"/>
        </w:rPr>
        <w:t>25a).</w:t>
      </w:r>
    </w:p>
  </w:footnote>
  <w:footnote w:id="7">
    <w:p w14:paraId="02125F85" w14:textId="3C01722B" w:rsidR="00AB5600" w:rsidRPr="00067355" w:rsidRDefault="00AB5600" w:rsidP="00AB5600">
      <w:pPr>
        <w:pStyle w:val="FootnoteText"/>
        <w:spacing w:after="120" w:line="360" w:lineRule="auto"/>
        <w:jc w:val="both"/>
        <w:rPr>
          <w:rFonts w:ascii="Times New Roman" w:hAnsi="Times New Roman" w:cs="Times New Roman"/>
        </w:rPr>
      </w:pPr>
      <w:r w:rsidRPr="00EB3DF5">
        <w:rPr>
          <w:rStyle w:val="FootnoteReference"/>
          <w:rFonts w:ascii="Times New Roman" w:hAnsi="Times New Roman" w:cs="Times New Roman"/>
        </w:rPr>
        <w:footnoteRef/>
      </w:r>
      <w:r w:rsidRPr="00EB3DF5">
        <w:rPr>
          <w:rFonts w:ascii="Times New Roman" w:hAnsi="Times New Roman" w:cs="Times New Roman"/>
        </w:rPr>
        <w:t xml:space="preserve"> </w:t>
      </w:r>
      <w:r w:rsidR="00635191" w:rsidRPr="00EB3DF5">
        <w:rPr>
          <w:rFonts w:ascii="Times New Roman" w:hAnsi="Times New Roman" w:cs="Times New Roman"/>
        </w:rPr>
        <w:t>See</w:t>
      </w:r>
      <w:r w:rsidRPr="00EB3DF5">
        <w:rPr>
          <w:rFonts w:ascii="Times New Roman" w:hAnsi="Times New Roman" w:cs="Times New Roman"/>
        </w:rPr>
        <w:t xml:space="preserve"> Pritchard</w:t>
      </w:r>
      <w:r w:rsidR="005D03B0" w:rsidRPr="00EB3DF5">
        <w:rPr>
          <w:rFonts w:ascii="Times New Roman" w:hAnsi="Times New Roman" w:cs="Times New Roman"/>
        </w:rPr>
        <w:t xml:space="preserve"> (2000, 2011, 2015, 2017, 2024). For a criticism, see</w:t>
      </w:r>
      <w:r w:rsidRPr="00EB3DF5">
        <w:rPr>
          <w:rFonts w:ascii="Times New Roman" w:hAnsi="Times New Roman" w:cs="Times New Roman"/>
        </w:rPr>
        <w:t xml:space="preserve"> Coliva </w:t>
      </w:r>
      <w:r w:rsidR="005D03B0" w:rsidRPr="00EB3DF5">
        <w:rPr>
          <w:rFonts w:ascii="Times New Roman" w:hAnsi="Times New Roman" w:cs="Times New Roman"/>
        </w:rPr>
        <w:t>(</w:t>
      </w:r>
      <w:r w:rsidRPr="00EB3DF5">
        <w:rPr>
          <w:rFonts w:ascii="Times New Roman" w:hAnsi="Times New Roman" w:cs="Times New Roman"/>
        </w:rPr>
        <w:t>2025</w:t>
      </w:r>
      <w:r w:rsidR="00B33B57" w:rsidRPr="00EB3DF5">
        <w:rPr>
          <w:rFonts w:ascii="Times New Roman" w:hAnsi="Times New Roman" w:cs="Times New Roman"/>
        </w:rPr>
        <w:t>b</w:t>
      </w:r>
      <w:r w:rsidRPr="00EB3DF5">
        <w:rPr>
          <w:rFonts w:ascii="Times New Roman" w:hAnsi="Times New Roman" w:cs="Times New Roman"/>
        </w:rPr>
        <w:t>, 2025</w:t>
      </w:r>
      <w:r w:rsidR="00B33B57" w:rsidRPr="00EB3DF5">
        <w:rPr>
          <w:rFonts w:ascii="Times New Roman" w:hAnsi="Times New Roman" w:cs="Times New Roman"/>
        </w:rPr>
        <w:t>c</w:t>
      </w:r>
      <w:r w:rsidR="005D03B0" w:rsidRPr="00EB3DF5">
        <w:rPr>
          <w:rFonts w:ascii="Times New Roman" w:hAnsi="Times New Roman" w:cs="Times New Roman"/>
        </w:rPr>
        <w:t xml:space="preserve">). For a comprehensive discussion, see Coliva, Pritchard and </w:t>
      </w:r>
      <w:proofErr w:type="spellStart"/>
      <w:r w:rsidR="005D03B0" w:rsidRPr="00EB3DF5">
        <w:rPr>
          <w:rFonts w:ascii="Times New Roman" w:hAnsi="Times New Roman" w:cs="Times New Roman"/>
        </w:rPr>
        <w:t>Schönbaumsfeld</w:t>
      </w:r>
      <w:proofErr w:type="spellEnd"/>
      <w:r w:rsidR="005D03B0" w:rsidRPr="00EB3DF5">
        <w:rPr>
          <w:rFonts w:ascii="Times New Roman" w:hAnsi="Times New Roman" w:cs="Times New Roman"/>
        </w:rPr>
        <w:t xml:space="preserve">, </w:t>
      </w:r>
      <w:proofErr w:type="spellStart"/>
      <w:r w:rsidR="00EB3DF5" w:rsidRPr="00EB3DF5">
        <w:rPr>
          <w:rFonts w:ascii="Times New Roman" w:hAnsi="Times New Roman" w:cs="Times New Roman"/>
        </w:rPr>
        <w:t>ms.</w:t>
      </w:r>
      <w:proofErr w:type="spellEnd"/>
    </w:p>
  </w:footnote>
  <w:footnote w:id="8">
    <w:p w14:paraId="614D48AF" w14:textId="0E06DF3B" w:rsidR="0098140D" w:rsidRPr="00BD2B5B" w:rsidRDefault="0098140D" w:rsidP="00BD2B5B">
      <w:pPr>
        <w:pStyle w:val="FootnoteText"/>
        <w:spacing w:after="120" w:line="360" w:lineRule="auto"/>
        <w:jc w:val="both"/>
        <w:rPr>
          <w:rFonts w:ascii="Times New Roman" w:hAnsi="Times New Roman" w:cs="Times New Roman"/>
        </w:rPr>
      </w:pPr>
      <w:r w:rsidRPr="00BD2B5B">
        <w:rPr>
          <w:rStyle w:val="FootnoteReference"/>
          <w:rFonts w:ascii="Times New Roman" w:hAnsi="Times New Roman" w:cs="Times New Roman"/>
        </w:rPr>
        <w:footnoteRef/>
      </w:r>
      <w:r w:rsidRPr="00BD2B5B">
        <w:rPr>
          <w:rFonts w:ascii="Times New Roman" w:hAnsi="Times New Roman" w:cs="Times New Roman"/>
        </w:rPr>
        <w:t xml:space="preserve"> </w:t>
      </w:r>
      <w:r w:rsidR="002903E1" w:rsidRPr="00BD2B5B">
        <w:rPr>
          <w:rFonts w:ascii="Times New Roman" w:hAnsi="Times New Roman" w:cs="Times New Roman"/>
        </w:rPr>
        <w:t xml:space="preserve">Conversely, this is how a “proof” of the existence of physical objects like </w:t>
      </w:r>
      <w:r w:rsidR="002903E1" w:rsidRPr="00B33B57">
        <w:rPr>
          <w:rFonts w:ascii="Times New Roman" w:hAnsi="Times New Roman" w:cs="Times New Roman"/>
        </w:rPr>
        <w:t>G. E. Moore’s (1939)</w:t>
      </w:r>
      <w:r w:rsidR="002903E1" w:rsidRPr="00BD2B5B">
        <w:rPr>
          <w:rFonts w:ascii="Times New Roman" w:hAnsi="Times New Roman" w:cs="Times New Roman"/>
        </w:rPr>
        <w:t xml:space="preserve"> would ultimately </w:t>
      </w:r>
      <w:r w:rsidR="00582646">
        <w:rPr>
          <w:rFonts w:ascii="Times New Roman" w:hAnsi="Times New Roman" w:cs="Times New Roman"/>
        </w:rPr>
        <w:t xml:space="preserve">be </w:t>
      </w:r>
      <w:r w:rsidR="002903E1" w:rsidRPr="00BD2B5B">
        <w:rPr>
          <w:rFonts w:ascii="Times New Roman" w:hAnsi="Times New Roman" w:cs="Times New Roman"/>
        </w:rPr>
        <w:t>circular an</w:t>
      </w:r>
      <w:r w:rsidR="00582646">
        <w:rPr>
          <w:rFonts w:ascii="Times New Roman" w:hAnsi="Times New Roman" w:cs="Times New Roman"/>
        </w:rPr>
        <w:t>d</w:t>
      </w:r>
      <w:r w:rsidR="002903E1" w:rsidRPr="00BD2B5B">
        <w:rPr>
          <w:rFonts w:ascii="Times New Roman" w:hAnsi="Times New Roman" w:cs="Times New Roman"/>
        </w:rPr>
        <w:t xml:space="preserve"> question-begging, since it would start out by assuming that </w:t>
      </w:r>
      <w:r w:rsidR="00B76481" w:rsidRPr="00BD2B5B">
        <w:rPr>
          <w:rFonts w:ascii="Times New Roman" w:hAnsi="Times New Roman" w:cs="Times New Roman"/>
        </w:rPr>
        <w:t>“Here is a hand” is justified based on one’s current perception, where that may be the case only by already taking for granted that there are physical objects, of which</w:t>
      </w:r>
      <w:r w:rsidR="00BD2B5B" w:rsidRPr="00BD2B5B">
        <w:rPr>
          <w:rFonts w:ascii="Times New Roman" w:hAnsi="Times New Roman" w:cs="Times New Roman"/>
        </w:rPr>
        <w:t xml:space="preserve"> one’s hand is an instance, which are manifested in perception.</w:t>
      </w:r>
    </w:p>
  </w:footnote>
  <w:footnote w:id="9">
    <w:p w14:paraId="0CECE5F1" w14:textId="66B2CF7B" w:rsidR="006B5B1F" w:rsidRPr="00186D5A" w:rsidRDefault="006B5B1F" w:rsidP="00186D5A">
      <w:pPr>
        <w:pStyle w:val="FootnoteText"/>
        <w:spacing w:after="120" w:line="360" w:lineRule="auto"/>
        <w:jc w:val="both"/>
        <w:rPr>
          <w:rFonts w:ascii="Times New Roman" w:hAnsi="Times New Roman" w:cs="Times New Roman"/>
        </w:rPr>
      </w:pPr>
      <w:r w:rsidRPr="00186D5A">
        <w:rPr>
          <w:rStyle w:val="FootnoteReference"/>
          <w:rFonts w:ascii="Times New Roman" w:hAnsi="Times New Roman" w:cs="Times New Roman"/>
        </w:rPr>
        <w:footnoteRef/>
      </w:r>
      <w:r w:rsidRPr="00186D5A">
        <w:rPr>
          <w:rFonts w:ascii="Times New Roman" w:hAnsi="Times New Roman" w:cs="Times New Roman"/>
        </w:rPr>
        <w:t xml:space="preserve"> Likewise, in the empir</w:t>
      </w:r>
      <w:r w:rsidR="00186D5A" w:rsidRPr="00186D5A">
        <w:rPr>
          <w:rFonts w:ascii="Times New Roman" w:hAnsi="Times New Roman" w:cs="Times New Roman"/>
        </w:rPr>
        <w:t>ical case, if one didn’t take for granted that there are physical objects, broadly manifest in perception, one could not take one’s current sense perception as of a hand in front of one as evidence in favor of one’s belief that there is one’s hand there.</w:t>
      </w:r>
    </w:p>
  </w:footnote>
  <w:footnote w:id="10">
    <w:p w14:paraId="25D46C49" w14:textId="44D1D5C6" w:rsidR="006D7747" w:rsidRPr="00067355" w:rsidRDefault="006D7747" w:rsidP="00BC7CA5">
      <w:pPr>
        <w:pStyle w:val="FootnoteText"/>
        <w:spacing w:after="120" w:line="360" w:lineRule="auto"/>
        <w:jc w:val="both"/>
        <w:rPr>
          <w:rFonts w:ascii="Times New Roman" w:hAnsi="Times New Roman" w:cs="Times New Roman"/>
        </w:rPr>
      </w:pPr>
      <w:r w:rsidRPr="00067355">
        <w:rPr>
          <w:rStyle w:val="FootnoteReference"/>
          <w:rFonts w:ascii="Times New Roman" w:hAnsi="Times New Roman" w:cs="Times New Roman"/>
        </w:rPr>
        <w:footnoteRef/>
      </w:r>
      <w:r w:rsidRPr="00067355">
        <w:rPr>
          <w:rFonts w:ascii="Times New Roman" w:hAnsi="Times New Roman" w:cs="Times New Roman"/>
        </w:rPr>
        <w:t xml:space="preserve"> Here I am simply borrowing the Carnapian dichotomy between “internal” and “external” questions, and </w:t>
      </w:r>
      <w:r w:rsidR="00D20C0B" w:rsidRPr="00067355">
        <w:rPr>
          <w:rFonts w:ascii="Times New Roman" w:hAnsi="Times New Roman" w:cs="Times New Roman"/>
        </w:rPr>
        <w:t xml:space="preserve">I </w:t>
      </w:r>
      <w:r w:rsidRPr="00067355">
        <w:rPr>
          <w:rFonts w:ascii="Times New Roman" w:hAnsi="Times New Roman" w:cs="Times New Roman"/>
        </w:rPr>
        <w:t xml:space="preserve">am not following </w:t>
      </w:r>
      <w:proofErr w:type="spellStart"/>
      <w:r w:rsidRPr="00067355">
        <w:rPr>
          <w:rFonts w:ascii="Times New Roman" w:hAnsi="Times New Roman" w:cs="Times New Roman"/>
        </w:rPr>
        <w:t>Carnap</w:t>
      </w:r>
      <w:r w:rsidR="00FB52F5" w:rsidRPr="00067355">
        <w:rPr>
          <w:rFonts w:ascii="Times New Roman" w:hAnsi="Times New Roman" w:cs="Times New Roman"/>
        </w:rPr>
        <w:t>’s</w:t>
      </w:r>
      <w:proofErr w:type="spellEnd"/>
      <w:r w:rsidR="00FB52F5" w:rsidRPr="00067355">
        <w:rPr>
          <w:rFonts w:ascii="Times New Roman" w:hAnsi="Times New Roman" w:cs="Times New Roman"/>
        </w:rPr>
        <w:t xml:space="preserve"> own understanding of the distinction, which had to do with languages </w:t>
      </w:r>
      <w:r w:rsidR="0001332C">
        <w:rPr>
          <w:rFonts w:ascii="Times New Roman" w:hAnsi="Times New Roman" w:cs="Times New Roman"/>
        </w:rPr>
        <w:t>and</w:t>
      </w:r>
      <w:r w:rsidR="00FB52F5" w:rsidRPr="00067355">
        <w:rPr>
          <w:rFonts w:ascii="Times New Roman" w:hAnsi="Times New Roman" w:cs="Times New Roman"/>
        </w:rPr>
        <w:t xml:space="preserve"> conceptual schemes, rather than </w:t>
      </w:r>
      <w:r w:rsidR="00D20C0B" w:rsidRPr="00067355">
        <w:rPr>
          <w:rFonts w:ascii="Times New Roman" w:hAnsi="Times New Roman" w:cs="Times New Roman"/>
        </w:rPr>
        <w:t xml:space="preserve">with </w:t>
      </w:r>
      <w:r w:rsidR="00FB52F5" w:rsidRPr="00067355">
        <w:rPr>
          <w:rFonts w:ascii="Times New Roman" w:hAnsi="Times New Roman" w:cs="Times New Roman"/>
        </w:rPr>
        <w:t xml:space="preserve">reasons and epistemic systems, with their </w:t>
      </w:r>
      <w:r w:rsidR="00D20C0B" w:rsidRPr="00067355">
        <w:rPr>
          <w:rFonts w:ascii="Times New Roman" w:hAnsi="Times New Roman" w:cs="Times New Roman"/>
        </w:rPr>
        <w:t>characteristic hinges.</w:t>
      </w:r>
      <w:r w:rsidR="00FB52F5" w:rsidRPr="00067355">
        <w:rPr>
          <w:rFonts w:ascii="Times New Roman" w:hAnsi="Times New Roman" w:cs="Times New Roman"/>
        </w:rPr>
        <w:t xml:space="preserve"> </w:t>
      </w:r>
    </w:p>
  </w:footnote>
  <w:footnote w:id="11">
    <w:p w14:paraId="5492D45F" w14:textId="0935DD1B" w:rsidR="00ED3757" w:rsidRPr="00B63EA1" w:rsidRDefault="00ED3757" w:rsidP="00B63EA1">
      <w:pPr>
        <w:pStyle w:val="FootnoteText"/>
        <w:spacing w:after="120" w:line="360" w:lineRule="auto"/>
        <w:jc w:val="both"/>
        <w:rPr>
          <w:rFonts w:ascii="Times New Roman" w:hAnsi="Times New Roman" w:cs="Times New Roman"/>
        </w:rPr>
      </w:pPr>
      <w:r w:rsidRPr="00B63EA1">
        <w:rPr>
          <w:rStyle w:val="FootnoteReference"/>
          <w:rFonts w:ascii="Times New Roman" w:hAnsi="Times New Roman" w:cs="Times New Roman"/>
        </w:rPr>
        <w:footnoteRef/>
      </w:r>
      <w:r w:rsidRPr="00B63EA1">
        <w:rPr>
          <w:rFonts w:ascii="Times New Roman" w:hAnsi="Times New Roman" w:cs="Times New Roman"/>
        </w:rPr>
        <w:t xml:space="preserve"> </w:t>
      </w:r>
      <w:r w:rsidR="00275996" w:rsidRPr="00B63EA1">
        <w:rPr>
          <w:rFonts w:ascii="Times New Roman" w:hAnsi="Times New Roman" w:cs="Times New Roman"/>
        </w:rPr>
        <w:t xml:space="preserve">Coliva </w:t>
      </w:r>
      <w:r w:rsidR="00E82D21" w:rsidRPr="00B63EA1">
        <w:rPr>
          <w:rFonts w:ascii="Times New Roman" w:hAnsi="Times New Roman" w:cs="Times New Roman"/>
        </w:rPr>
        <w:t xml:space="preserve">(2015) and </w:t>
      </w:r>
      <w:r w:rsidR="00E82D21" w:rsidRPr="00B33B57">
        <w:rPr>
          <w:rFonts w:ascii="Times New Roman" w:hAnsi="Times New Roman" w:cs="Times New Roman"/>
        </w:rPr>
        <w:t xml:space="preserve">Coliva </w:t>
      </w:r>
      <w:r w:rsidR="00275996" w:rsidRPr="00B33B57">
        <w:rPr>
          <w:rFonts w:ascii="Times New Roman" w:hAnsi="Times New Roman" w:cs="Times New Roman"/>
        </w:rPr>
        <w:t>and Palmira (2020, 202</w:t>
      </w:r>
      <w:r w:rsidR="00441C8D" w:rsidRPr="00B33B57">
        <w:rPr>
          <w:rFonts w:ascii="Times New Roman" w:hAnsi="Times New Roman" w:cs="Times New Roman"/>
        </w:rPr>
        <w:t>1</w:t>
      </w:r>
      <w:r w:rsidR="00275996" w:rsidRPr="00B33B57">
        <w:rPr>
          <w:rFonts w:ascii="Times New Roman" w:hAnsi="Times New Roman" w:cs="Times New Roman"/>
        </w:rPr>
        <w:t xml:space="preserve">) defended the view that </w:t>
      </w:r>
      <w:r w:rsidR="00EE1AD8" w:rsidRPr="00B33B57">
        <w:rPr>
          <w:rFonts w:ascii="Times New Roman" w:hAnsi="Times New Roman" w:cs="Times New Roman"/>
        </w:rPr>
        <w:t xml:space="preserve">disagreements about “There are physical objects”, and “To accept that there are physical objects is epistemically rational” may be </w:t>
      </w:r>
      <w:r w:rsidR="00E82D21" w:rsidRPr="00B33B57">
        <w:rPr>
          <w:rFonts w:ascii="Times New Roman" w:hAnsi="Times New Roman" w:cs="Times New Roman"/>
        </w:rPr>
        <w:t>resolved based on epistemic reasons</w:t>
      </w:r>
      <w:r w:rsidR="00B63EA1" w:rsidRPr="00B33B57">
        <w:rPr>
          <w:rFonts w:ascii="Times New Roman" w:hAnsi="Times New Roman" w:cs="Times New Roman"/>
        </w:rPr>
        <w:t xml:space="preserve">. Coliva and Doulas (2022) </w:t>
      </w:r>
      <w:r w:rsidR="00F66D25">
        <w:rPr>
          <w:rFonts w:ascii="Times New Roman" w:hAnsi="Times New Roman" w:cs="Times New Roman"/>
        </w:rPr>
        <w:t>took</w:t>
      </w:r>
      <w:r w:rsidR="00B63EA1" w:rsidRPr="00B63EA1">
        <w:rPr>
          <w:rFonts w:ascii="Times New Roman" w:hAnsi="Times New Roman" w:cs="Times New Roman"/>
        </w:rPr>
        <w:t xml:space="preserve"> a more pragmatic approach.</w:t>
      </w:r>
    </w:p>
  </w:footnote>
  <w:footnote w:id="12">
    <w:p w14:paraId="065EC443" w14:textId="6430DF59" w:rsidR="000305D6" w:rsidRPr="00C93617" w:rsidRDefault="000305D6" w:rsidP="00C93617">
      <w:pPr>
        <w:pStyle w:val="FootnoteText"/>
        <w:spacing w:after="120" w:line="360" w:lineRule="auto"/>
        <w:jc w:val="both"/>
        <w:rPr>
          <w:rFonts w:ascii="Times New Roman" w:hAnsi="Times New Roman" w:cs="Times New Roman"/>
        </w:rPr>
      </w:pPr>
      <w:r w:rsidRPr="00C93617">
        <w:rPr>
          <w:rStyle w:val="FootnoteReference"/>
          <w:rFonts w:ascii="Times New Roman" w:hAnsi="Times New Roman" w:cs="Times New Roman"/>
        </w:rPr>
        <w:footnoteRef/>
      </w:r>
      <w:r w:rsidRPr="00C93617">
        <w:rPr>
          <w:rFonts w:ascii="Times New Roman" w:hAnsi="Times New Roman" w:cs="Times New Roman"/>
        </w:rPr>
        <w:t xml:space="preserve"> Although, ultimately, there may be a disagreement about God’s very nature.</w:t>
      </w:r>
      <w:r w:rsidR="00F36473">
        <w:rPr>
          <w:rFonts w:ascii="Times New Roman" w:hAnsi="Times New Roman" w:cs="Times New Roman"/>
        </w:rPr>
        <w:t xml:space="preserve"> This kind of metaphysical disagreement should not be conflated with the idea that parties to the dispute would pass each other by because they would have different concepts of God.</w:t>
      </w:r>
      <w:r w:rsidR="001845CF">
        <w:rPr>
          <w:rFonts w:ascii="Times New Roman" w:hAnsi="Times New Roman" w:cs="Times New Roman"/>
        </w:rPr>
        <w:t xml:space="preserve"> This of course puts pressure on holistic accounts of concepts, while leaving atomistic and </w:t>
      </w:r>
      <w:proofErr w:type="spellStart"/>
      <w:r w:rsidR="001845CF">
        <w:rPr>
          <w:rFonts w:ascii="Times New Roman" w:hAnsi="Times New Roman" w:cs="Times New Roman"/>
        </w:rPr>
        <w:t>molecularist</w:t>
      </w:r>
      <w:proofErr w:type="spellEnd"/>
      <w:r w:rsidR="001845CF">
        <w:rPr>
          <w:rFonts w:ascii="Times New Roman" w:hAnsi="Times New Roman" w:cs="Times New Roman"/>
        </w:rPr>
        <w:t xml:space="preserve"> accounts of concepts unscathed.</w:t>
      </w:r>
      <w:r w:rsidR="006E6775">
        <w:rPr>
          <w:rFonts w:ascii="Times New Roman" w:hAnsi="Times New Roman" w:cs="Times New Roman"/>
        </w:rPr>
        <w:t xml:space="preserve"> I have discussed these issues at length in </w:t>
      </w:r>
      <w:r w:rsidR="006E6775" w:rsidRPr="00B33B57">
        <w:rPr>
          <w:rFonts w:ascii="Times New Roman" w:hAnsi="Times New Roman" w:cs="Times New Roman"/>
        </w:rPr>
        <w:t>Coliva 2004</w:t>
      </w:r>
      <w:r w:rsidR="006E6775">
        <w:rPr>
          <w:rFonts w:ascii="Times New Roman" w:hAnsi="Times New Roman" w:cs="Times New Roman"/>
        </w:rPr>
        <w:t>.</w:t>
      </w:r>
    </w:p>
  </w:footnote>
  <w:footnote w:id="13">
    <w:p w14:paraId="02949E40" w14:textId="44839D37" w:rsidR="00C54ADA" w:rsidRPr="00067355" w:rsidRDefault="00C54ADA" w:rsidP="004C7491">
      <w:pPr>
        <w:pStyle w:val="FootnoteText"/>
        <w:spacing w:after="120" w:line="360" w:lineRule="auto"/>
        <w:jc w:val="both"/>
        <w:rPr>
          <w:rFonts w:ascii="Times New Roman" w:hAnsi="Times New Roman" w:cs="Times New Roman"/>
        </w:rPr>
      </w:pPr>
      <w:r w:rsidRPr="00067355">
        <w:rPr>
          <w:rStyle w:val="FootnoteReference"/>
          <w:rFonts w:ascii="Times New Roman" w:hAnsi="Times New Roman" w:cs="Times New Roman"/>
        </w:rPr>
        <w:footnoteRef/>
      </w:r>
      <w:r w:rsidRPr="00067355">
        <w:rPr>
          <w:rFonts w:ascii="Times New Roman" w:hAnsi="Times New Roman" w:cs="Times New Roman"/>
        </w:rPr>
        <w:t xml:space="preserve"> </w:t>
      </w:r>
      <w:r w:rsidR="00767243" w:rsidRPr="00067355">
        <w:rPr>
          <w:rFonts w:ascii="Times New Roman" w:hAnsi="Times New Roman" w:cs="Times New Roman"/>
        </w:rPr>
        <w:t xml:space="preserve">We are here dealing just with the issue of </w:t>
      </w:r>
      <w:r w:rsidR="00363B15" w:rsidRPr="00067355">
        <w:rPr>
          <w:rFonts w:ascii="Times New Roman" w:hAnsi="Times New Roman" w:cs="Times New Roman"/>
        </w:rPr>
        <w:t xml:space="preserve">the possibility of a rational resolution, not with the </w:t>
      </w:r>
      <w:r w:rsidR="004C7491" w:rsidRPr="00067355">
        <w:rPr>
          <w:rFonts w:ascii="Times New Roman" w:hAnsi="Times New Roman" w:cs="Times New Roman"/>
        </w:rPr>
        <w:t>practical issue</w:t>
      </w:r>
      <w:r w:rsidR="00363B15" w:rsidRPr="00067355">
        <w:rPr>
          <w:rFonts w:ascii="Times New Roman" w:hAnsi="Times New Roman" w:cs="Times New Roman"/>
        </w:rPr>
        <w:t xml:space="preserve"> that parties may </w:t>
      </w:r>
      <w:r w:rsidR="00A30C15" w:rsidRPr="00067355">
        <w:rPr>
          <w:rFonts w:ascii="Times New Roman" w:hAnsi="Times New Roman" w:cs="Times New Roman"/>
        </w:rPr>
        <w:t>remain</w:t>
      </w:r>
      <w:r w:rsidR="00363B15" w:rsidRPr="00067355">
        <w:rPr>
          <w:rFonts w:ascii="Times New Roman" w:hAnsi="Times New Roman" w:cs="Times New Roman"/>
        </w:rPr>
        <w:t xml:space="preserve"> steadfast in their conviction, even</w:t>
      </w:r>
      <w:r w:rsidR="00C820A4" w:rsidRPr="00067355">
        <w:rPr>
          <w:rFonts w:ascii="Times New Roman" w:hAnsi="Times New Roman" w:cs="Times New Roman"/>
        </w:rPr>
        <w:t xml:space="preserve"> against the evidence, and may decide to split and create their own religious group.</w:t>
      </w:r>
      <w:r w:rsidR="00767243" w:rsidRPr="00067355">
        <w:rPr>
          <w:rFonts w:ascii="Times New Roman" w:hAnsi="Times New Roman" w:cs="Times New Roman"/>
        </w:rPr>
        <w:t xml:space="preserve"> </w:t>
      </w:r>
    </w:p>
  </w:footnote>
  <w:footnote w:id="14">
    <w:p w14:paraId="415058FA" w14:textId="594B27A8" w:rsidR="008806B7" w:rsidRPr="00067355" w:rsidRDefault="008806B7" w:rsidP="008806B7">
      <w:pPr>
        <w:pStyle w:val="FootnoteText"/>
        <w:spacing w:after="120" w:line="360" w:lineRule="auto"/>
        <w:jc w:val="both"/>
        <w:rPr>
          <w:rFonts w:ascii="Times New Roman" w:hAnsi="Times New Roman" w:cs="Times New Roman"/>
        </w:rPr>
      </w:pPr>
      <w:r w:rsidRPr="00FB2082">
        <w:rPr>
          <w:rStyle w:val="FootnoteReference"/>
          <w:rFonts w:ascii="Times New Roman" w:hAnsi="Times New Roman" w:cs="Times New Roman"/>
        </w:rPr>
        <w:footnoteRef/>
      </w:r>
      <w:r w:rsidRPr="00FB2082">
        <w:rPr>
          <w:rFonts w:ascii="Times New Roman" w:hAnsi="Times New Roman" w:cs="Times New Roman"/>
        </w:rPr>
        <w:t xml:space="preserve"> Since the </w:t>
      </w:r>
      <w:r w:rsidRPr="00FB2082">
        <w:rPr>
          <w:rFonts w:ascii="Times New Roman" w:hAnsi="Times New Roman" w:cs="Times New Roman"/>
          <w:i/>
        </w:rPr>
        <w:t>Tractatus Logico-</w:t>
      </w:r>
      <w:proofErr w:type="spellStart"/>
      <w:r w:rsidRPr="00FB2082">
        <w:rPr>
          <w:rFonts w:ascii="Times New Roman" w:hAnsi="Times New Roman" w:cs="Times New Roman"/>
          <w:i/>
        </w:rPr>
        <w:t>Philosophicus</w:t>
      </w:r>
      <w:proofErr w:type="spellEnd"/>
      <w:r w:rsidRPr="00FB2082">
        <w:rPr>
          <w:rFonts w:ascii="Times New Roman" w:hAnsi="Times New Roman" w:cs="Times New Roman"/>
        </w:rPr>
        <w:t xml:space="preserve">, up to </w:t>
      </w:r>
      <w:r w:rsidRPr="00FB2082">
        <w:rPr>
          <w:rFonts w:ascii="Times New Roman" w:hAnsi="Times New Roman" w:cs="Times New Roman"/>
          <w:i/>
        </w:rPr>
        <w:t>On Certainty</w:t>
      </w:r>
      <w:r w:rsidRPr="00FB2082">
        <w:rPr>
          <w:rFonts w:ascii="Times New Roman" w:hAnsi="Times New Roman" w:cs="Times New Roman"/>
        </w:rPr>
        <w:t xml:space="preserve">, via the </w:t>
      </w:r>
      <w:r w:rsidRPr="00FB2082">
        <w:rPr>
          <w:rFonts w:ascii="Times New Roman" w:hAnsi="Times New Roman" w:cs="Times New Roman"/>
          <w:i/>
        </w:rPr>
        <w:t>Lectures on Religious Belief</w:t>
      </w:r>
      <w:r w:rsidRPr="00FB2082">
        <w:rPr>
          <w:rFonts w:ascii="Times New Roman" w:hAnsi="Times New Roman" w:cs="Times New Roman"/>
        </w:rPr>
        <w:t xml:space="preserve">, and many entries in </w:t>
      </w:r>
      <w:r w:rsidRPr="00FB2082">
        <w:rPr>
          <w:rFonts w:ascii="Times New Roman" w:hAnsi="Times New Roman" w:cs="Times New Roman"/>
          <w:i/>
        </w:rPr>
        <w:t>Culture and Value</w:t>
      </w:r>
      <w:r w:rsidRPr="00FB2082">
        <w:rPr>
          <w:rFonts w:ascii="Times New Roman" w:hAnsi="Times New Roman" w:cs="Times New Roman"/>
        </w:rPr>
        <w:t>,</w:t>
      </w:r>
      <w:r w:rsidRPr="00067355">
        <w:rPr>
          <w:rFonts w:ascii="Times New Roman" w:hAnsi="Times New Roman" w:cs="Times New Roman"/>
        </w:rPr>
        <w:t xml:space="preserve"> Wittgenstein has been concerned with the nature of religious belief and the status of “God exists”, which, much like “There are physical objects”, he considers playing a grammatical role, rather than a descriptive one. Against this background, the believer and the non-believer, who take that statement to be a description, which the believer affirms, and the non-believer denies, are bound to appeal to evidence that will be considered question-begging by the other party. For a comprehensive introduction to Wittgenstein’s philosophy of religion, see </w:t>
      </w:r>
      <w:proofErr w:type="spellStart"/>
      <w:r w:rsidRPr="00B33B57">
        <w:rPr>
          <w:rFonts w:ascii="Times New Roman" w:hAnsi="Times New Roman" w:cs="Times New Roman"/>
        </w:rPr>
        <w:t>Schönbaumsfeld</w:t>
      </w:r>
      <w:proofErr w:type="spellEnd"/>
      <w:r w:rsidRPr="00B33B57">
        <w:rPr>
          <w:rFonts w:ascii="Times New Roman" w:hAnsi="Times New Roman" w:cs="Times New Roman"/>
        </w:rPr>
        <w:t xml:space="preserve"> (2023). For a development of a religious hinge epistemology, see Coliva, Pritchard, and </w:t>
      </w:r>
      <w:proofErr w:type="spellStart"/>
      <w:r w:rsidRPr="00B33B57">
        <w:rPr>
          <w:rFonts w:ascii="Times New Roman" w:hAnsi="Times New Roman" w:cs="Times New Roman"/>
        </w:rPr>
        <w:t>Schönbaumsfeld</w:t>
      </w:r>
      <w:proofErr w:type="spellEnd"/>
      <w:r w:rsidRPr="00B33B57">
        <w:rPr>
          <w:rFonts w:ascii="Times New Roman" w:hAnsi="Times New Roman" w:cs="Times New Roman"/>
        </w:rPr>
        <w:t xml:space="preserve"> (</w:t>
      </w:r>
      <w:proofErr w:type="spellStart"/>
      <w:r w:rsidRPr="00B33B57">
        <w:rPr>
          <w:rFonts w:ascii="Times New Roman" w:hAnsi="Times New Roman" w:cs="Times New Roman"/>
        </w:rPr>
        <w:t>ms</w:t>
      </w:r>
      <w:proofErr w:type="spellEnd"/>
      <w:r w:rsidRPr="00B33B57">
        <w:rPr>
          <w:rFonts w:ascii="Times New Roman" w:hAnsi="Times New Roman" w:cs="Times New Roman"/>
        </w:rPr>
        <w:t>).</w:t>
      </w:r>
    </w:p>
  </w:footnote>
  <w:footnote w:id="15">
    <w:p w14:paraId="50135EEB" w14:textId="6B22FD5E" w:rsidR="00C8417D" w:rsidRPr="00E02B0D" w:rsidRDefault="00C8417D" w:rsidP="00E02B0D">
      <w:pPr>
        <w:pStyle w:val="FootnoteText"/>
        <w:spacing w:after="120" w:line="360" w:lineRule="auto"/>
        <w:jc w:val="both"/>
        <w:rPr>
          <w:rFonts w:ascii="Times New Roman" w:hAnsi="Times New Roman" w:cs="Times New Roman"/>
        </w:rPr>
      </w:pPr>
      <w:r w:rsidRPr="00E02B0D">
        <w:rPr>
          <w:rStyle w:val="FootnoteReference"/>
          <w:rFonts w:ascii="Times New Roman" w:hAnsi="Times New Roman" w:cs="Times New Roman"/>
        </w:rPr>
        <w:footnoteRef/>
      </w:r>
      <w:r w:rsidRPr="00E02B0D">
        <w:rPr>
          <w:rFonts w:ascii="Times New Roman" w:hAnsi="Times New Roman" w:cs="Times New Roman"/>
        </w:rPr>
        <w:t xml:space="preserve"> In </w:t>
      </w:r>
      <w:r w:rsidRPr="00B33B57">
        <w:rPr>
          <w:rFonts w:ascii="Times New Roman" w:hAnsi="Times New Roman" w:cs="Times New Roman"/>
        </w:rPr>
        <w:t>Coliva (201</w:t>
      </w:r>
      <w:r w:rsidR="00723E13" w:rsidRPr="00B33B57">
        <w:rPr>
          <w:rFonts w:ascii="Times New Roman" w:hAnsi="Times New Roman" w:cs="Times New Roman"/>
        </w:rPr>
        <w:t>5</w:t>
      </w:r>
      <w:r w:rsidR="00E02B0D" w:rsidRPr="00B33B57">
        <w:rPr>
          <w:rFonts w:ascii="Times New Roman" w:hAnsi="Times New Roman" w:cs="Times New Roman"/>
        </w:rPr>
        <w:t>, 2022</w:t>
      </w:r>
      <w:r w:rsidRPr="00B33B57">
        <w:rPr>
          <w:rFonts w:ascii="Times New Roman" w:hAnsi="Times New Roman" w:cs="Times New Roman"/>
        </w:rPr>
        <w:t>) I</w:t>
      </w:r>
      <w:r w:rsidRPr="00E02B0D">
        <w:rPr>
          <w:rFonts w:ascii="Times New Roman" w:hAnsi="Times New Roman" w:cs="Times New Roman"/>
        </w:rPr>
        <w:t xml:space="preserve"> have defended the view that “There are physical objects” is likewise </w:t>
      </w:r>
      <w:r w:rsidR="00D328AB" w:rsidRPr="00E02B0D">
        <w:rPr>
          <w:rFonts w:ascii="Times New Roman" w:hAnsi="Times New Roman" w:cs="Times New Roman"/>
        </w:rPr>
        <w:t>not supported by epistemic reasons. However, contrary to “God exists”, it is constitutive of epistemic rationality</w:t>
      </w:r>
      <w:r w:rsidR="00FB6735" w:rsidRPr="00E02B0D">
        <w:rPr>
          <w:rFonts w:ascii="Times New Roman" w:hAnsi="Times New Roman" w:cs="Times New Roman"/>
        </w:rPr>
        <w:t xml:space="preserve">, and, in this sense, </w:t>
      </w:r>
      <w:r w:rsidR="001C210B">
        <w:rPr>
          <w:rFonts w:ascii="Times New Roman" w:hAnsi="Times New Roman" w:cs="Times New Roman"/>
        </w:rPr>
        <w:t xml:space="preserve">it is </w:t>
      </w:r>
      <w:r w:rsidR="00FB6735" w:rsidRPr="00E02B0D">
        <w:rPr>
          <w:rFonts w:ascii="Times New Roman" w:hAnsi="Times New Roman" w:cs="Times New Roman"/>
        </w:rPr>
        <w:t xml:space="preserve">epistemically rational in its turn. In </w:t>
      </w:r>
      <w:r w:rsidR="00FB6735" w:rsidRPr="00B33B57">
        <w:rPr>
          <w:rFonts w:ascii="Times New Roman" w:hAnsi="Times New Roman" w:cs="Times New Roman"/>
        </w:rPr>
        <w:t>Coliva (2025</w:t>
      </w:r>
      <w:r w:rsidR="00B33B57" w:rsidRPr="00B33B57">
        <w:rPr>
          <w:rFonts w:ascii="Times New Roman" w:hAnsi="Times New Roman" w:cs="Times New Roman"/>
        </w:rPr>
        <w:t>b</w:t>
      </w:r>
      <w:r w:rsidR="00FB6735" w:rsidRPr="00B33B57">
        <w:rPr>
          <w:rFonts w:ascii="Times New Roman" w:hAnsi="Times New Roman" w:cs="Times New Roman"/>
        </w:rPr>
        <w:t xml:space="preserve">, </w:t>
      </w:r>
      <w:r w:rsidR="00B33B57" w:rsidRPr="00B33B57">
        <w:rPr>
          <w:rFonts w:ascii="Times New Roman" w:hAnsi="Times New Roman" w:cs="Times New Roman"/>
        </w:rPr>
        <w:t>c</w:t>
      </w:r>
      <w:r w:rsidR="00FB6735" w:rsidRPr="00B33B57">
        <w:rPr>
          <w:rFonts w:ascii="Times New Roman" w:hAnsi="Times New Roman" w:cs="Times New Roman"/>
        </w:rPr>
        <w:t xml:space="preserve">) and in Coliva, Pritchard, </w:t>
      </w:r>
      <w:proofErr w:type="spellStart"/>
      <w:r w:rsidR="00FB6735" w:rsidRPr="00B33B57">
        <w:rPr>
          <w:rFonts w:ascii="Times New Roman" w:hAnsi="Times New Roman" w:cs="Times New Roman"/>
        </w:rPr>
        <w:t>Schönbaumsfeld</w:t>
      </w:r>
      <w:proofErr w:type="spellEnd"/>
      <w:r w:rsidR="00FB6735" w:rsidRPr="00B33B57">
        <w:rPr>
          <w:rFonts w:ascii="Times New Roman" w:hAnsi="Times New Roman" w:cs="Times New Roman"/>
        </w:rPr>
        <w:t xml:space="preserve"> (</w:t>
      </w:r>
      <w:proofErr w:type="spellStart"/>
      <w:r w:rsidR="00B33B57" w:rsidRPr="00B33B57">
        <w:rPr>
          <w:rFonts w:ascii="Times New Roman" w:hAnsi="Times New Roman" w:cs="Times New Roman"/>
        </w:rPr>
        <w:t>ms</w:t>
      </w:r>
      <w:r w:rsidR="0020312B" w:rsidRPr="00B33B57">
        <w:rPr>
          <w:rFonts w:ascii="Times New Roman" w:hAnsi="Times New Roman" w:cs="Times New Roman"/>
        </w:rPr>
        <w:t>.</w:t>
      </w:r>
      <w:proofErr w:type="spellEnd"/>
      <w:r w:rsidR="0020312B" w:rsidRPr="00B33B57">
        <w:rPr>
          <w:rFonts w:ascii="Times New Roman" w:hAnsi="Times New Roman" w:cs="Times New Roman"/>
        </w:rPr>
        <w:t>),</w:t>
      </w:r>
      <w:r w:rsidR="0020312B" w:rsidRPr="00E02B0D">
        <w:rPr>
          <w:rFonts w:ascii="Times New Roman" w:hAnsi="Times New Roman" w:cs="Times New Roman"/>
        </w:rPr>
        <w:t xml:space="preserve"> I therefore argue that there is no parity argument between empirical and religious discourse capable of salvaging the epistemic rationality of the latter</w:t>
      </w:r>
      <w:r w:rsidR="00E02B0D" w:rsidRPr="00E02B0D">
        <w:rPr>
          <w:rFonts w:ascii="Times New Roman" w:hAnsi="Times New Roman" w:cs="Times New Roman"/>
        </w:rPr>
        <w:t xml:space="preserve">, while avoiding both </w:t>
      </w:r>
      <w:proofErr w:type="spellStart"/>
      <w:r w:rsidR="00E02B0D" w:rsidRPr="00E02B0D">
        <w:rPr>
          <w:rFonts w:ascii="Times New Roman" w:hAnsi="Times New Roman" w:cs="Times New Roman"/>
        </w:rPr>
        <w:t>evidentialism</w:t>
      </w:r>
      <w:proofErr w:type="spellEnd"/>
      <w:r w:rsidR="00E02B0D" w:rsidRPr="00E02B0D">
        <w:rPr>
          <w:rFonts w:ascii="Times New Roman" w:hAnsi="Times New Roman" w:cs="Times New Roman"/>
        </w:rPr>
        <w:t xml:space="preserve"> and fideism.</w:t>
      </w:r>
    </w:p>
  </w:footnote>
  <w:footnote w:id="16">
    <w:p w14:paraId="72ACF508" w14:textId="3EA656E5" w:rsidR="00BF4E4D" w:rsidRPr="00BF4E4D" w:rsidRDefault="00BF4E4D" w:rsidP="00BF4E4D">
      <w:pPr>
        <w:pStyle w:val="FootnoteText"/>
        <w:spacing w:after="120" w:line="360" w:lineRule="auto"/>
        <w:jc w:val="both"/>
        <w:rPr>
          <w:rFonts w:ascii="Times New Roman" w:hAnsi="Times New Roman" w:cs="Times New Roman"/>
        </w:rPr>
      </w:pPr>
      <w:r w:rsidRPr="00BF4E4D">
        <w:rPr>
          <w:rStyle w:val="FootnoteReference"/>
          <w:rFonts w:ascii="Times New Roman" w:hAnsi="Times New Roman" w:cs="Times New Roman"/>
        </w:rPr>
        <w:footnoteRef/>
      </w:r>
      <w:r w:rsidRPr="00BF4E4D">
        <w:rPr>
          <w:rFonts w:ascii="Times New Roman" w:hAnsi="Times New Roman" w:cs="Times New Roman"/>
        </w:rPr>
        <w:t xml:space="preserve"> That’s why for Wittgenstein, like for </w:t>
      </w:r>
      <w:r w:rsidRPr="00B33B57">
        <w:rPr>
          <w:rFonts w:ascii="Times New Roman" w:hAnsi="Times New Roman" w:cs="Times New Roman"/>
        </w:rPr>
        <w:t>Feldman (2010),</w:t>
      </w:r>
      <w:r w:rsidRPr="00BF4E4D">
        <w:rPr>
          <w:rFonts w:ascii="Times New Roman" w:hAnsi="Times New Roman" w:cs="Times New Roman"/>
        </w:rPr>
        <w:t xml:space="preserve"> a believer and a non-believer may still count as epistemic peers.</w:t>
      </w:r>
    </w:p>
  </w:footnote>
  <w:footnote w:id="17">
    <w:p w14:paraId="09E73256" w14:textId="3A068152" w:rsidR="00AA0248" w:rsidRPr="00F470D5" w:rsidRDefault="00AA0248" w:rsidP="00F470D5">
      <w:pPr>
        <w:pStyle w:val="FootnoteText"/>
        <w:spacing w:after="120" w:line="360" w:lineRule="auto"/>
        <w:jc w:val="both"/>
        <w:rPr>
          <w:rFonts w:ascii="Times New Roman" w:hAnsi="Times New Roman" w:cs="Times New Roman"/>
        </w:rPr>
      </w:pPr>
      <w:r w:rsidRPr="00F470D5">
        <w:rPr>
          <w:rStyle w:val="FootnoteReference"/>
          <w:rFonts w:ascii="Times New Roman" w:hAnsi="Times New Roman" w:cs="Times New Roman"/>
        </w:rPr>
        <w:footnoteRef/>
      </w:r>
      <w:r w:rsidRPr="00F470D5">
        <w:rPr>
          <w:rFonts w:ascii="Times New Roman" w:hAnsi="Times New Roman" w:cs="Times New Roman"/>
        </w:rPr>
        <w:t xml:space="preserve"> I am </w:t>
      </w:r>
      <w:r w:rsidR="00174757" w:rsidRPr="00F470D5">
        <w:rPr>
          <w:rFonts w:ascii="Times New Roman" w:hAnsi="Times New Roman" w:cs="Times New Roman"/>
        </w:rPr>
        <w:t xml:space="preserve">leaving out any appeal to a priori proofs of God’s existence for they are question-begging against the non-believer either because they presuppose </w:t>
      </w:r>
      <w:r w:rsidR="00FE7E67" w:rsidRPr="00F470D5">
        <w:rPr>
          <w:rFonts w:ascii="Times New Roman" w:hAnsi="Times New Roman" w:cs="Times New Roman"/>
        </w:rPr>
        <w:t xml:space="preserve">God’s existence (like in ontological proofs), or </w:t>
      </w:r>
      <w:r w:rsidR="00F470D5" w:rsidRPr="00F470D5">
        <w:rPr>
          <w:rFonts w:ascii="Times New Roman" w:hAnsi="Times New Roman" w:cs="Times New Roman"/>
        </w:rPr>
        <w:t>because they presuppose that the universe should have a final cause.</w:t>
      </w:r>
    </w:p>
  </w:footnote>
  <w:footnote w:id="18">
    <w:p w14:paraId="06EB7BF5" w14:textId="72DDE824" w:rsidR="00F82DC4" w:rsidRPr="00526AF2" w:rsidRDefault="00F82DC4" w:rsidP="00526AF2">
      <w:pPr>
        <w:pStyle w:val="FootnoteText"/>
        <w:spacing w:after="120" w:line="360" w:lineRule="auto"/>
        <w:jc w:val="both"/>
        <w:rPr>
          <w:rFonts w:ascii="Times New Roman" w:hAnsi="Times New Roman" w:cs="Times New Roman"/>
        </w:rPr>
      </w:pPr>
      <w:r w:rsidRPr="00526AF2">
        <w:rPr>
          <w:rStyle w:val="FootnoteReference"/>
          <w:rFonts w:ascii="Times New Roman" w:hAnsi="Times New Roman" w:cs="Times New Roman"/>
        </w:rPr>
        <w:footnoteRef/>
      </w:r>
      <w:r w:rsidRPr="00526AF2">
        <w:rPr>
          <w:rFonts w:ascii="Times New Roman" w:hAnsi="Times New Roman" w:cs="Times New Roman"/>
        </w:rPr>
        <w:t xml:space="preserve"> </w:t>
      </w:r>
      <w:r w:rsidRPr="00B33B57">
        <w:rPr>
          <w:rFonts w:ascii="Times New Roman" w:hAnsi="Times New Roman" w:cs="Times New Roman"/>
        </w:rPr>
        <w:t xml:space="preserve">Wittgenstein’s </w:t>
      </w:r>
      <w:r w:rsidR="00526AF2" w:rsidRPr="00B33B57">
        <w:rPr>
          <w:rFonts w:ascii="Times New Roman" w:hAnsi="Times New Roman" w:cs="Times New Roman"/>
        </w:rPr>
        <w:t xml:space="preserve">(1953) </w:t>
      </w:r>
      <w:r w:rsidRPr="00B33B57">
        <w:rPr>
          <w:rFonts w:ascii="Times New Roman" w:hAnsi="Times New Roman" w:cs="Times New Roman"/>
        </w:rPr>
        <w:t>remarks</w:t>
      </w:r>
      <w:r w:rsidRPr="00526AF2">
        <w:rPr>
          <w:rFonts w:ascii="Times New Roman" w:hAnsi="Times New Roman" w:cs="Times New Roman"/>
        </w:rPr>
        <w:t xml:space="preserve"> in </w:t>
      </w:r>
      <w:r w:rsidRPr="00526AF2">
        <w:rPr>
          <w:rFonts w:ascii="Times New Roman" w:hAnsi="Times New Roman" w:cs="Times New Roman"/>
          <w:i/>
          <w:iCs/>
        </w:rPr>
        <w:t>Philosophical Investigations</w:t>
      </w:r>
      <w:r w:rsidRPr="00526AF2">
        <w:rPr>
          <w:rFonts w:ascii="Times New Roman" w:hAnsi="Times New Roman" w:cs="Times New Roman"/>
        </w:rPr>
        <w:t xml:space="preserve"> about seeing and seeing-as would be germane here, but a proper treatment of this issue would take us too far afield.</w:t>
      </w:r>
      <w:r w:rsidR="001723AC">
        <w:rPr>
          <w:rFonts w:ascii="Times New Roman" w:hAnsi="Times New Roman" w:cs="Times New Roman"/>
        </w:rPr>
        <w:t xml:space="preserve"> On the </w:t>
      </w:r>
      <w:r w:rsidR="00FC5B4D">
        <w:rPr>
          <w:rFonts w:ascii="Times New Roman" w:hAnsi="Times New Roman" w:cs="Times New Roman"/>
        </w:rPr>
        <w:t xml:space="preserve">different kinds of </w:t>
      </w:r>
      <w:proofErr w:type="gramStart"/>
      <w:r w:rsidR="00FC5B4D">
        <w:rPr>
          <w:rFonts w:ascii="Times New Roman" w:hAnsi="Times New Roman" w:cs="Times New Roman"/>
        </w:rPr>
        <w:t>evidence</w:t>
      </w:r>
      <w:proofErr w:type="gramEnd"/>
      <w:r w:rsidR="001723AC">
        <w:rPr>
          <w:rFonts w:ascii="Times New Roman" w:hAnsi="Times New Roman" w:cs="Times New Roman"/>
        </w:rPr>
        <w:t xml:space="preserve"> </w:t>
      </w:r>
      <w:r w:rsidR="00FC5B4D">
        <w:rPr>
          <w:rFonts w:ascii="Times New Roman" w:hAnsi="Times New Roman" w:cs="Times New Roman"/>
        </w:rPr>
        <w:t xml:space="preserve">the believer and the non-believer would admit and appeal </w:t>
      </w:r>
      <w:proofErr w:type="gramStart"/>
      <w:r w:rsidR="00FC5B4D">
        <w:rPr>
          <w:rFonts w:ascii="Times New Roman" w:hAnsi="Times New Roman" w:cs="Times New Roman"/>
        </w:rPr>
        <w:t>to,</w:t>
      </w:r>
      <w:proofErr w:type="gramEnd"/>
      <w:r w:rsidR="00FC5B4D">
        <w:rPr>
          <w:rFonts w:ascii="Times New Roman" w:hAnsi="Times New Roman" w:cs="Times New Roman"/>
        </w:rPr>
        <w:t xml:space="preserve"> see also Kusch (</w:t>
      </w:r>
      <w:r w:rsidR="00FC5B4D" w:rsidRPr="009B1DE6">
        <w:rPr>
          <w:rFonts w:ascii="Times New Roman" w:hAnsi="Times New Roman" w:cs="Times New Roman"/>
        </w:rPr>
        <w:t>201</w:t>
      </w:r>
      <w:r w:rsidR="009B1DE6" w:rsidRPr="009B1DE6">
        <w:rPr>
          <w:rFonts w:ascii="Times New Roman" w:hAnsi="Times New Roman" w:cs="Times New Roman"/>
        </w:rPr>
        <w:t>4</w:t>
      </w:r>
      <w:r w:rsidR="00FC5B4D" w:rsidRPr="009B1DE6">
        <w:rPr>
          <w:rFonts w:ascii="Times New Roman" w:hAnsi="Times New Roman" w:cs="Times New Roman"/>
        </w:rPr>
        <w:t>)</w:t>
      </w:r>
      <w:r w:rsidR="00F94F73">
        <w:rPr>
          <w:rFonts w:ascii="Times New Roman" w:hAnsi="Times New Roman" w:cs="Times New Roman"/>
        </w:rPr>
        <w:t xml:space="preserve">, as well as on the </w:t>
      </w:r>
      <w:r w:rsidR="00CD4D4C">
        <w:rPr>
          <w:rFonts w:ascii="Times New Roman" w:hAnsi="Times New Roman" w:cs="Times New Roman"/>
        </w:rPr>
        <w:t>issue of whether they qualify, for Wittgenstein, as epistemic peers.</w:t>
      </w:r>
    </w:p>
  </w:footnote>
  <w:footnote w:id="19">
    <w:p w14:paraId="5CD2DBEE" w14:textId="25D728B8" w:rsidR="006942E2" w:rsidRPr="00526AF2" w:rsidRDefault="006942E2" w:rsidP="00526AF2">
      <w:pPr>
        <w:pStyle w:val="FootnoteText"/>
        <w:spacing w:after="120" w:line="360" w:lineRule="auto"/>
        <w:jc w:val="both"/>
        <w:rPr>
          <w:rFonts w:ascii="Times New Roman" w:hAnsi="Times New Roman" w:cs="Times New Roman"/>
        </w:rPr>
      </w:pPr>
      <w:r w:rsidRPr="00526AF2">
        <w:rPr>
          <w:rStyle w:val="FootnoteReference"/>
          <w:rFonts w:ascii="Times New Roman" w:hAnsi="Times New Roman" w:cs="Times New Roman"/>
        </w:rPr>
        <w:footnoteRef/>
      </w:r>
      <w:r w:rsidRPr="00526AF2">
        <w:rPr>
          <w:rFonts w:ascii="Times New Roman" w:hAnsi="Times New Roman" w:cs="Times New Roman"/>
        </w:rPr>
        <w:t xml:space="preserve"> Yet not all, because not all religions recognize the existence of God</w:t>
      </w:r>
      <w:r w:rsidR="007C4083" w:rsidRPr="00526AF2">
        <w:rPr>
          <w:rFonts w:ascii="Times New Roman" w:hAnsi="Times New Roman" w:cs="Times New Roman"/>
        </w:rPr>
        <w:t>, e.g. Confucianism.</w:t>
      </w:r>
    </w:p>
  </w:footnote>
  <w:footnote w:id="20">
    <w:p w14:paraId="4B02CAEF" w14:textId="77FCD525" w:rsidR="005D2DB2" w:rsidRPr="00E625D0" w:rsidRDefault="005D2DB2" w:rsidP="00E625D0">
      <w:pPr>
        <w:pStyle w:val="FootnoteText"/>
        <w:spacing w:after="120" w:line="360" w:lineRule="auto"/>
        <w:jc w:val="both"/>
        <w:rPr>
          <w:rFonts w:ascii="Times New Roman" w:hAnsi="Times New Roman" w:cs="Times New Roman"/>
        </w:rPr>
      </w:pPr>
      <w:r w:rsidRPr="00E625D0">
        <w:rPr>
          <w:rStyle w:val="FootnoteReference"/>
          <w:rFonts w:ascii="Times New Roman" w:hAnsi="Times New Roman" w:cs="Times New Roman"/>
        </w:rPr>
        <w:footnoteRef/>
      </w:r>
      <w:r w:rsidRPr="00E625D0">
        <w:rPr>
          <w:rFonts w:ascii="Times New Roman" w:hAnsi="Times New Roman" w:cs="Times New Roman"/>
        </w:rPr>
        <w:t xml:space="preserve"> As we saw in </w:t>
      </w:r>
      <w:r w:rsidRPr="00243AD0">
        <w:rPr>
          <w:rFonts w:ascii="Times New Roman" w:hAnsi="Times New Roman" w:cs="Times New Roman"/>
          <w:highlight w:val="yellow"/>
        </w:rPr>
        <w:t>fn. 1</w:t>
      </w:r>
      <w:r w:rsidR="0047639B">
        <w:rPr>
          <w:rFonts w:ascii="Times New Roman" w:hAnsi="Times New Roman" w:cs="Times New Roman"/>
          <w:highlight w:val="yellow"/>
        </w:rPr>
        <w:t>2</w:t>
      </w:r>
      <w:r w:rsidRPr="00E625D0">
        <w:rPr>
          <w:rFonts w:ascii="Times New Roman" w:hAnsi="Times New Roman" w:cs="Times New Roman"/>
        </w:rPr>
        <w:t xml:space="preserve">, the fact that there may be a disagreement over </w:t>
      </w:r>
      <w:r w:rsidR="009F17BD" w:rsidRPr="00E625D0">
        <w:rPr>
          <w:rFonts w:ascii="Times New Roman" w:hAnsi="Times New Roman" w:cs="Times New Roman"/>
        </w:rPr>
        <w:t>God’s nature doesn’t mean that parties to the debate would pass each other by</w:t>
      </w:r>
      <w:r w:rsidR="00E625D0" w:rsidRPr="00E625D0">
        <w:rPr>
          <w:rFonts w:ascii="Times New Roman" w:hAnsi="Times New Roman" w:cs="Times New Roman"/>
        </w:rPr>
        <w:t>, or that they would only seemingly agree on the hinge “God exists”.</w:t>
      </w:r>
    </w:p>
  </w:footnote>
  <w:footnote w:id="21">
    <w:p w14:paraId="4C3480F7" w14:textId="157C5365" w:rsidR="006B268A" w:rsidRPr="006B268A" w:rsidRDefault="006B268A" w:rsidP="006B268A">
      <w:pPr>
        <w:pStyle w:val="FootnoteText"/>
        <w:spacing w:after="120" w:line="360" w:lineRule="auto"/>
        <w:jc w:val="both"/>
        <w:rPr>
          <w:rFonts w:ascii="Times New Roman" w:hAnsi="Times New Roman" w:cs="Times New Roman"/>
        </w:rPr>
      </w:pPr>
      <w:r w:rsidRPr="006B268A">
        <w:rPr>
          <w:rStyle w:val="FootnoteReference"/>
          <w:rFonts w:ascii="Times New Roman" w:hAnsi="Times New Roman" w:cs="Times New Roman"/>
        </w:rPr>
        <w:footnoteRef/>
      </w:r>
      <w:r w:rsidRPr="006B268A">
        <w:rPr>
          <w:rFonts w:ascii="Times New Roman" w:hAnsi="Times New Roman" w:cs="Times New Roman"/>
        </w:rPr>
        <w:t xml:space="preserve"> I have argued for this at length in Coliva (2015).</w:t>
      </w:r>
    </w:p>
  </w:footnote>
  <w:footnote w:id="22">
    <w:p w14:paraId="1CAF7ECD" w14:textId="028358CF" w:rsidR="00C25CA3" w:rsidRPr="00B119D0" w:rsidRDefault="00C25CA3" w:rsidP="00B119D0">
      <w:pPr>
        <w:pStyle w:val="FootnoteText"/>
        <w:spacing w:after="120" w:line="360" w:lineRule="auto"/>
        <w:jc w:val="both"/>
        <w:rPr>
          <w:rFonts w:ascii="Times New Roman" w:hAnsi="Times New Roman" w:cs="Times New Roman"/>
        </w:rPr>
      </w:pPr>
      <w:r w:rsidRPr="00B119D0">
        <w:rPr>
          <w:rStyle w:val="FootnoteReference"/>
          <w:rFonts w:ascii="Times New Roman" w:hAnsi="Times New Roman" w:cs="Times New Roman"/>
        </w:rPr>
        <w:footnoteRef/>
      </w:r>
      <w:r w:rsidRPr="00B119D0">
        <w:rPr>
          <w:rFonts w:ascii="Times New Roman" w:hAnsi="Times New Roman" w:cs="Times New Roman"/>
        </w:rPr>
        <w:t xml:space="preserve"> Of course, here </w:t>
      </w:r>
      <w:r w:rsidR="000860FE" w:rsidRPr="00B119D0">
        <w:rPr>
          <w:rFonts w:ascii="Times New Roman" w:hAnsi="Times New Roman" w:cs="Times New Roman"/>
        </w:rPr>
        <w:t xml:space="preserve">I </w:t>
      </w:r>
      <w:r w:rsidRPr="00B119D0">
        <w:rPr>
          <w:rFonts w:ascii="Times New Roman" w:hAnsi="Times New Roman" w:cs="Times New Roman"/>
        </w:rPr>
        <w:t>am over-simplifying</w:t>
      </w:r>
      <w:r w:rsidR="000860FE" w:rsidRPr="00B119D0">
        <w:rPr>
          <w:rFonts w:ascii="Times New Roman" w:hAnsi="Times New Roman" w:cs="Times New Roman"/>
        </w:rPr>
        <w:t xml:space="preserve">. For, at least for Catholics, the Pope is the ultimate source of normative authority. </w:t>
      </w:r>
      <w:r w:rsidR="00FC0048" w:rsidRPr="00B119D0">
        <w:rPr>
          <w:rFonts w:ascii="Times New Roman" w:hAnsi="Times New Roman" w:cs="Times New Roman"/>
        </w:rPr>
        <w:t>Still, the simplification is useful to characterize the most basic cases of inter-religious disagreement.</w:t>
      </w:r>
    </w:p>
  </w:footnote>
  <w:footnote w:id="23">
    <w:p w14:paraId="7B87415F" w14:textId="0D3C4799" w:rsidR="00192215" w:rsidRPr="00F36BA0" w:rsidRDefault="00192215" w:rsidP="00F36BA0">
      <w:pPr>
        <w:pStyle w:val="FootnoteText"/>
        <w:spacing w:after="120" w:line="360" w:lineRule="auto"/>
        <w:jc w:val="both"/>
        <w:rPr>
          <w:rFonts w:ascii="Times New Roman" w:hAnsi="Times New Roman" w:cs="Times New Roman"/>
        </w:rPr>
      </w:pPr>
      <w:r w:rsidRPr="00F36BA0">
        <w:rPr>
          <w:rStyle w:val="FootnoteReference"/>
          <w:rFonts w:ascii="Times New Roman" w:hAnsi="Times New Roman" w:cs="Times New Roman"/>
        </w:rPr>
        <w:footnoteRef/>
      </w:r>
      <w:r w:rsidRPr="00F36BA0">
        <w:rPr>
          <w:rFonts w:ascii="Times New Roman" w:hAnsi="Times New Roman" w:cs="Times New Roman"/>
        </w:rPr>
        <w:t xml:space="preserve"> Of course, the similarity is only superficial. For</w:t>
      </w:r>
      <w:r w:rsidR="00F36BA0" w:rsidRPr="00F36BA0">
        <w:rPr>
          <w:rFonts w:ascii="Times New Roman" w:hAnsi="Times New Roman" w:cs="Times New Roman"/>
        </w:rPr>
        <w:t>,</w:t>
      </w:r>
      <w:r w:rsidRPr="00F36BA0">
        <w:rPr>
          <w:rFonts w:ascii="Times New Roman" w:hAnsi="Times New Roman" w:cs="Times New Roman"/>
        </w:rPr>
        <w:t xml:space="preserve"> in the arithmetical case, we could find a third method to arbitrate disagreements occurred </w:t>
      </w:r>
      <w:r w:rsidR="00F36BA0" w:rsidRPr="00F36BA0">
        <w:rPr>
          <w:rFonts w:ascii="Times New Roman" w:hAnsi="Times New Roman" w:cs="Times New Roman"/>
        </w:rPr>
        <w:t>while utilizing a calculator on the one hand, and mental calculations, on the other.</w:t>
      </w:r>
    </w:p>
  </w:footnote>
  <w:footnote w:id="24">
    <w:p w14:paraId="3D05AD54" w14:textId="7D00F6AA" w:rsidR="00275250" w:rsidRPr="00275250" w:rsidRDefault="00275250" w:rsidP="00275250">
      <w:pPr>
        <w:pStyle w:val="FootnoteText"/>
        <w:spacing w:after="120" w:line="360" w:lineRule="auto"/>
        <w:jc w:val="both"/>
        <w:rPr>
          <w:rFonts w:ascii="Times New Roman" w:hAnsi="Times New Roman" w:cs="Times New Roman"/>
        </w:rPr>
      </w:pPr>
      <w:r w:rsidRPr="00275250">
        <w:rPr>
          <w:rStyle w:val="FootnoteReference"/>
          <w:rFonts w:ascii="Times New Roman" w:hAnsi="Times New Roman" w:cs="Times New Roman"/>
        </w:rPr>
        <w:footnoteRef/>
      </w:r>
      <w:r w:rsidRPr="00275250">
        <w:rPr>
          <w:rFonts w:ascii="Times New Roman" w:hAnsi="Times New Roman" w:cs="Times New Roman"/>
        </w:rPr>
        <w:t xml:space="preserve"> To contextualize Wittgenstein’s passage in </w:t>
      </w:r>
      <w:r w:rsidR="00DA3F5D">
        <w:rPr>
          <w:rFonts w:ascii="Times New Roman" w:hAnsi="Times New Roman" w:cs="Times New Roman"/>
        </w:rPr>
        <w:t>(</w:t>
      </w:r>
      <w:r w:rsidRPr="00275250">
        <w:rPr>
          <w:rFonts w:ascii="Times New Roman" w:hAnsi="Times New Roman" w:cs="Times New Roman"/>
        </w:rPr>
        <w:t>OC 92</w:t>
      </w:r>
      <w:r w:rsidR="00DA3F5D">
        <w:rPr>
          <w:rFonts w:ascii="Times New Roman" w:hAnsi="Times New Roman" w:cs="Times New Roman"/>
        </w:rPr>
        <w:t>)</w:t>
      </w:r>
      <w:r w:rsidRPr="00275250">
        <w:rPr>
          <w:rFonts w:ascii="Times New Roman" w:hAnsi="Times New Roman" w:cs="Times New Roman"/>
        </w:rPr>
        <w:t>, it is important to keep in mind that OC was written before the moon landing.</w:t>
      </w:r>
      <w:r w:rsidR="00132DF1">
        <w:rPr>
          <w:rFonts w:ascii="Times New Roman" w:hAnsi="Times New Roman" w:cs="Times New Roman"/>
        </w:rPr>
        <w:t xml:space="preserve"> See also</w:t>
      </w:r>
      <w:r w:rsidR="00383448">
        <w:rPr>
          <w:rFonts w:ascii="Times New Roman" w:hAnsi="Times New Roman" w:cs="Times New Roman"/>
        </w:rPr>
        <w:t xml:space="preserve"> (OC 106-107).</w:t>
      </w:r>
    </w:p>
  </w:footnote>
  <w:footnote w:id="25">
    <w:p w14:paraId="4ED3B54E" w14:textId="4E2A278A" w:rsidR="00ED2094" w:rsidRPr="00ED2094" w:rsidRDefault="00ED2094" w:rsidP="00ED2094">
      <w:pPr>
        <w:pStyle w:val="FootnoteText"/>
        <w:spacing w:after="120" w:line="360" w:lineRule="auto"/>
        <w:jc w:val="both"/>
        <w:rPr>
          <w:rFonts w:ascii="Times New Roman" w:hAnsi="Times New Roman" w:cs="Times New Roman"/>
        </w:rPr>
      </w:pPr>
      <w:r w:rsidRPr="00ED2094">
        <w:rPr>
          <w:rStyle w:val="FootnoteReference"/>
          <w:rFonts w:ascii="Times New Roman" w:hAnsi="Times New Roman" w:cs="Times New Roman"/>
        </w:rPr>
        <w:footnoteRef/>
      </w:r>
      <w:r w:rsidRPr="00ED2094">
        <w:rPr>
          <w:rFonts w:ascii="Times New Roman" w:hAnsi="Times New Roman" w:cs="Times New Roman"/>
        </w:rPr>
        <w:t xml:space="preserve"> It is not by chance that questions such as this are raised in the context of testing for Alzheimer’s disease and other forms of dementia.</w:t>
      </w:r>
    </w:p>
  </w:footnote>
  <w:footnote w:id="26">
    <w:p w14:paraId="39559DD3" w14:textId="6F52C4E8" w:rsidR="003A35CD" w:rsidRPr="0087155D" w:rsidRDefault="003A35CD" w:rsidP="0087155D">
      <w:pPr>
        <w:pStyle w:val="FootnoteText"/>
        <w:spacing w:after="120" w:line="360" w:lineRule="auto"/>
        <w:jc w:val="both"/>
        <w:rPr>
          <w:rFonts w:ascii="Times New Roman" w:hAnsi="Times New Roman" w:cs="Times New Roman"/>
        </w:rPr>
      </w:pPr>
      <w:r w:rsidRPr="0087155D">
        <w:rPr>
          <w:rStyle w:val="FootnoteReference"/>
          <w:rFonts w:ascii="Times New Roman" w:hAnsi="Times New Roman" w:cs="Times New Roman"/>
        </w:rPr>
        <w:footnoteRef/>
      </w:r>
      <w:r w:rsidRPr="0087155D">
        <w:rPr>
          <w:rFonts w:ascii="Times New Roman" w:hAnsi="Times New Roman" w:cs="Times New Roman"/>
        </w:rPr>
        <w:t xml:space="preserve"> Of course, Newton was never so explicit about </w:t>
      </w:r>
      <w:r w:rsidR="000F4F62" w:rsidRPr="0087155D">
        <w:rPr>
          <w:rFonts w:ascii="Times New Roman" w:hAnsi="Times New Roman" w:cs="Times New Roman"/>
        </w:rPr>
        <w:t xml:space="preserve">his views regarding the Trinitarian dogma, also due to his public roles in Britain which </w:t>
      </w:r>
      <w:r w:rsidR="00610770" w:rsidRPr="0087155D">
        <w:rPr>
          <w:rFonts w:ascii="Times New Roman" w:hAnsi="Times New Roman" w:cs="Times New Roman"/>
        </w:rPr>
        <w:t xml:space="preserve">committed him to conform to the Anglican creed. </w:t>
      </w:r>
      <w:r w:rsidR="00517CD8" w:rsidRPr="0087155D">
        <w:rPr>
          <w:rFonts w:ascii="Times New Roman" w:hAnsi="Times New Roman" w:cs="Times New Roman"/>
        </w:rPr>
        <w:t xml:space="preserve">See </w:t>
      </w:r>
      <w:proofErr w:type="spellStart"/>
      <w:r w:rsidR="00517CD8" w:rsidRPr="0087155D">
        <w:rPr>
          <w:rFonts w:ascii="Times New Roman" w:hAnsi="Times New Roman" w:cs="Times New Roman"/>
        </w:rPr>
        <w:t>Snobelen</w:t>
      </w:r>
      <w:proofErr w:type="spellEnd"/>
      <w:r w:rsidR="00517CD8" w:rsidRPr="0087155D">
        <w:rPr>
          <w:rFonts w:ascii="Times New Roman" w:hAnsi="Times New Roman" w:cs="Times New Roman"/>
        </w:rPr>
        <w:t xml:space="preserve"> (1999) for an in-depth discussion of </w:t>
      </w:r>
      <w:r w:rsidR="0087155D" w:rsidRPr="0087155D">
        <w:rPr>
          <w:rFonts w:ascii="Times New Roman" w:hAnsi="Times New Roman" w:cs="Times New Roman"/>
        </w:rPr>
        <w:t>Newton’s</w:t>
      </w:r>
      <w:r w:rsidR="00517CD8" w:rsidRPr="0087155D">
        <w:rPr>
          <w:rFonts w:ascii="Times New Roman" w:hAnsi="Times New Roman" w:cs="Times New Roman"/>
        </w:rPr>
        <w:t xml:space="preserve"> religious here</w:t>
      </w:r>
      <w:r w:rsidR="0087155D" w:rsidRPr="0087155D">
        <w:rPr>
          <w:rFonts w:ascii="Times New Roman" w:hAnsi="Times New Roman" w:cs="Times New Roman"/>
        </w:rPr>
        <w:t>sy.</w:t>
      </w:r>
    </w:p>
  </w:footnote>
  <w:footnote w:id="27">
    <w:p w14:paraId="2C6F6302" w14:textId="40300751" w:rsidR="00E55039" w:rsidRPr="0021102B" w:rsidRDefault="00E55039" w:rsidP="0021102B">
      <w:pPr>
        <w:pStyle w:val="FootnoteText"/>
        <w:spacing w:after="120" w:line="360" w:lineRule="auto"/>
        <w:jc w:val="both"/>
        <w:rPr>
          <w:rFonts w:ascii="Times New Roman" w:hAnsi="Times New Roman" w:cs="Times New Roman"/>
        </w:rPr>
      </w:pPr>
      <w:r w:rsidRPr="0021102B">
        <w:rPr>
          <w:rStyle w:val="FootnoteReference"/>
          <w:rFonts w:ascii="Times New Roman" w:hAnsi="Times New Roman" w:cs="Times New Roman"/>
        </w:rPr>
        <w:footnoteRef/>
      </w:r>
      <w:r w:rsidRPr="0021102B">
        <w:rPr>
          <w:rFonts w:ascii="Times New Roman" w:hAnsi="Times New Roman" w:cs="Times New Roman"/>
        </w:rPr>
        <w:t xml:space="preserve"> Such a belief attitude is nowadays </w:t>
      </w:r>
      <w:r w:rsidR="0021102B" w:rsidRPr="0021102B">
        <w:rPr>
          <w:rFonts w:ascii="Times New Roman" w:hAnsi="Times New Roman" w:cs="Times New Roman"/>
        </w:rPr>
        <w:t xml:space="preserve">often referred to in epistemology as j/k-apt belief – that is, belief that is apt to be epistemically justified and to amount to knowledge if also true. </w:t>
      </w:r>
      <w:r w:rsidR="005E4CB3">
        <w:rPr>
          <w:rFonts w:ascii="Times New Roman" w:hAnsi="Times New Roman" w:cs="Times New Roman"/>
        </w:rPr>
        <w:t xml:space="preserve">By contrast, the term </w:t>
      </w:r>
      <w:r w:rsidR="0021102B" w:rsidRPr="0021102B">
        <w:rPr>
          <w:rFonts w:ascii="Times New Roman" w:hAnsi="Times New Roman" w:cs="Times New Roman"/>
        </w:rPr>
        <w:t>“</w:t>
      </w:r>
      <w:r w:rsidR="005E4CB3">
        <w:rPr>
          <w:rFonts w:ascii="Times New Roman" w:hAnsi="Times New Roman" w:cs="Times New Roman"/>
        </w:rPr>
        <w:t>b</w:t>
      </w:r>
      <w:r w:rsidR="0021102B" w:rsidRPr="0021102B">
        <w:rPr>
          <w:rFonts w:ascii="Times New Roman" w:hAnsi="Times New Roman" w:cs="Times New Roman"/>
        </w:rPr>
        <w:t>elief” in ordinary discourse covers a variety of attitudes which go beyond j/k-apt belief and extend to faith, like in the religious case.</w:t>
      </w:r>
    </w:p>
  </w:footnote>
  <w:footnote w:id="28">
    <w:p w14:paraId="4D6C6876" w14:textId="5B7880CF" w:rsidR="00B00629" w:rsidRPr="009C3247" w:rsidRDefault="00B00629" w:rsidP="009C3247">
      <w:pPr>
        <w:pStyle w:val="FootnoteText"/>
        <w:spacing w:after="120" w:line="360" w:lineRule="auto"/>
        <w:jc w:val="both"/>
        <w:rPr>
          <w:rFonts w:ascii="Times New Roman" w:hAnsi="Times New Roman" w:cs="Times New Roman"/>
        </w:rPr>
      </w:pPr>
      <w:r w:rsidRPr="009C3247">
        <w:rPr>
          <w:rStyle w:val="FootnoteReference"/>
          <w:rFonts w:ascii="Times New Roman" w:hAnsi="Times New Roman" w:cs="Times New Roman"/>
        </w:rPr>
        <w:footnoteRef/>
      </w:r>
      <w:r w:rsidRPr="009C3247">
        <w:rPr>
          <w:rFonts w:ascii="Times New Roman" w:hAnsi="Times New Roman" w:cs="Times New Roman"/>
        </w:rPr>
        <w:t xml:space="preserve"> I think Kusch </w:t>
      </w:r>
      <w:r w:rsidR="009856C2" w:rsidRPr="009C3247">
        <w:rPr>
          <w:rFonts w:ascii="Times New Roman" w:hAnsi="Times New Roman" w:cs="Times New Roman"/>
        </w:rPr>
        <w:t>(</w:t>
      </w:r>
      <w:r w:rsidR="009856C2" w:rsidRPr="001076AA">
        <w:rPr>
          <w:rFonts w:ascii="Times New Roman" w:hAnsi="Times New Roman" w:cs="Times New Roman"/>
        </w:rPr>
        <w:t>201</w:t>
      </w:r>
      <w:r w:rsidR="001076AA" w:rsidRPr="001076AA">
        <w:rPr>
          <w:rFonts w:ascii="Times New Roman" w:hAnsi="Times New Roman" w:cs="Times New Roman"/>
        </w:rPr>
        <w:t>4</w:t>
      </w:r>
      <w:r w:rsidR="009856C2" w:rsidRPr="009C3247">
        <w:rPr>
          <w:rFonts w:ascii="Times New Roman" w:hAnsi="Times New Roman" w:cs="Times New Roman"/>
        </w:rPr>
        <w:t xml:space="preserve">) </w:t>
      </w:r>
      <w:r w:rsidRPr="009C3247">
        <w:rPr>
          <w:rFonts w:ascii="Times New Roman" w:hAnsi="Times New Roman" w:cs="Times New Roman"/>
        </w:rPr>
        <w:t xml:space="preserve">may have something like that in mind, when he terms religious beliefs “extraordinary beliefs”. I prefer </w:t>
      </w:r>
      <w:r w:rsidR="00655226">
        <w:rPr>
          <w:rFonts w:ascii="Times New Roman" w:hAnsi="Times New Roman" w:cs="Times New Roman"/>
        </w:rPr>
        <w:t>to use the</w:t>
      </w:r>
      <w:r w:rsidRPr="009C3247">
        <w:rPr>
          <w:rFonts w:ascii="Times New Roman" w:hAnsi="Times New Roman" w:cs="Times New Roman"/>
        </w:rPr>
        <w:t xml:space="preserve"> </w:t>
      </w:r>
      <w:r w:rsidR="00655226">
        <w:rPr>
          <w:rFonts w:ascii="Times New Roman" w:hAnsi="Times New Roman" w:cs="Times New Roman"/>
        </w:rPr>
        <w:t>term</w:t>
      </w:r>
      <w:r w:rsidRPr="009C3247">
        <w:rPr>
          <w:rFonts w:ascii="Times New Roman" w:hAnsi="Times New Roman" w:cs="Times New Roman"/>
        </w:rPr>
        <w:t xml:space="preserve"> </w:t>
      </w:r>
      <w:r w:rsidR="00655226">
        <w:rPr>
          <w:rFonts w:ascii="Times New Roman" w:hAnsi="Times New Roman" w:cs="Times New Roman"/>
        </w:rPr>
        <w:t>“</w:t>
      </w:r>
      <w:r w:rsidRPr="009C3247">
        <w:rPr>
          <w:rFonts w:ascii="Times New Roman" w:hAnsi="Times New Roman" w:cs="Times New Roman"/>
        </w:rPr>
        <w:t>trust</w:t>
      </w:r>
      <w:r w:rsidR="00655226">
        <w:rPr>
          <w:rFonts w:ascii="Times New Roman" w:hAnsi="Times New Roman" w:cs="Times New Roman"/>
        </w:rPr>
        <w:t>”</w:t>
      </w:r>
      <w:r w:rsidRPr="009C3247">
        <w:rPr>
          <w:rFonts w:ascii="Times New Roman" w:hAnsi="Times New Roman" w:cs="Times New Roman"/>
        </w:rPr>
        <w:t xml:space="preserve"> for several reasons. First, because it is more faithful to Wittgenstein’s own terminology in OC. Second, because it avoids </w:t>
      </w:r>
      <w:r w:rsidR="009856C2" w:rsidRPr="009C3247">
        <w:rPr>
          <w:rFonts w:ascii="Times New Roman" w:hAnsi="Times New Roman" w:cs="Times New Roman"/>
        </w:rPr>
        <w:t xml:space="preserve">giving </w:t>
      </w:r>
      <w:r w:rsidRPr="009C3247">
        <w:rPr>
          <w:rFonts w:ascii="Times New Roman" w:hAnsi="Times New Roman" w:cs="Times New Roman"/>
        </w:rPr>
        <w:t>the impression that religious belief is belief in an extraordinary reality</w:t>
      </w:r>
      <w:r w:rsidR="00EE49E1" w:rsidRPr="009C3247">
        <w:rPr>
          <w:rFonts w:ascii="Times New Roman" w:hAnsi="Times New Roman" w:cs="Times New Roman"/>
        </w:rPr>
        <w:t>, like belief in Santa Claus</w:t>
      </w:r>
      <w:r w:rsidR="0087155D">
        <w:rPr>
          <w:rFonts w:ascii="Times New Roman" w:hAnsi="Times New Roman" w:cs="Times New Roman"/>
        </w:rPr>
        <w:t>, or spiderman, or witches</w:t>
      </w:r>
      <w:r w:rsidR="00EE49E1" w:rsidRPr="009C3247">
        <w:rPr>
          <w:rFonts w:ascii="Times New Roman" w:hAnsi="Times New Roman" w:cs="Times New Roman"/>
        </w:rPr>
        <w:t xml:space="preserve">. Rather, religious belief is a form of unquestioning acceptance of the main tenets of one’s religious creed, inherited from one’s </w:t>
      </w:r>
      <w:r w:rsidR="00AA0A59" w:rsidRPr="009C3247">
        <w:rPr>
          <w:rFonts w:ascii="Times New Roman" w:hAnsi="Times New Roman" w:cs="Times New Roman"/>
        </w:rPr>
        <w:t xml:space="preserve">community. In this sense, it is no more extraordinary an attitude than the one of trust in the existence of physical objects, or </w:t>
      </w:r>
      <w:r w:rsidR="009C3247" w:rsidRPr="009C3247">
        <w:rPr>
          <w:rFonts w:ascii="Times New Roman" w:hAnsi="Times New Roman" w:cs="Times New Roman"/>
        </w:rPr>
        <w:t>in the long existence of the Earth.</w:t>
      </w:r>
    </w:p>
  </w:footnote>
  <w:footnote w:id="29">
    <w:p w14:paraId="1556DEB4" w14:textId="392E82B8" w:rsidR="001E4468" w:rsidRPr="00077970" w:rsidRDefault="001E4468" w:rsidP="00077970">
      <w:pPr>
        <w:pStyle w:val="FootnoteText"/>
        <w:spacing w:after="120" w:line="360" w:lineRule="auto"/>
        <w:jc w:val="both"/>
        <w:rPr>
          <w:rFonts w:ascii="Times New Roman" w:hAnsi="Times New Roman" w:cs="Times New Roman"/>
        </w:rPr>
      </w:pPr>
      <w:r w:rsidRPr="00077970">
        <w:rPr>
          <w:rStyle w:val="FootnoteReference"/>
          <w:rFonts w:ascii="Times New Roman" w:hAnsi="Times New Roman" w:cs="Times New Roman"/>
        </w:rPr>
        <w:footnoteRef/>
      </w:r>
      <w:r w:rsidRPr="00077970">
        <w:rPr>
          <w:rFonts w:ascii="Times New Roman" w:hAnsi="Times New Roman" w:cs="Times New Roman"/>
        </w:rPr>
        <w:t xml:space="preserve"> Contrary to Kusch (</w:t>
      </w:r>
      <w:r w:rsidRPr="001076AA">
        <w:rPr>
          <w:rFonts w:ascii="Times New Roman" w:hAnsi="Times New Roman" w:cs="Times New Roman"/>
        </w:rPr>
        <w:t>201</w:t>
      </w:r>
      <w:r w:rsidR="001076AA" w:rsidRPr="001076AA">
        <w:rPr>
          <w:rFonts w:ascii="Times New Roman" w:hAnsi="Times New Roman" w:cs="Times New Roman"/>
        </w:rPr>
        <w:t>4</w:t>
      </w:r>
      <w:r w:rsidRPr="00077970">
        <w:rPr>
          <w:rFonts w:ascii="Times New Roman" w:hAnsi="Times New Roman" w:cs="Times New Roman"/>
        </w:rPr>
        <w:t xml:space="preserve">) I am not convinced that </w:t>
      </w:r>
      <w:r w:rsidR="00773050" w:rsidRPr="00077970">
        <w:rPr>
          <w:rFonts w:ascii="Times New Roman" w:hAnsi="Times New Roman" w:cs="Times New Roman"/>
        </w:rPr>
        <w:t xml:space="preserve">Wittgenstein would treat the religious case and the moon case alike. In particular, </w:t>
      </w:r>
      <w:r w:rsidR="00EB5D23" w:rsidRPr="00077970">
        <w:rPr>
          <w:rFonts w:ascii="Times New Roman" w:hAnsi="Times New Roman" w:cs="Times New Roman"/>
        </w:rPr>
        <w:t>(</w:t>
      </w:r>
      <w:r w:rsidR="00773050" w:rsidRPr="00077970">
        <w:rPr>
          <w:rFonts w:ascii="Times New Roman" w:hAnsi="Times New Roman" w:cs="Times New Roman"/>
        </w:rPr>
        <w:t>OC 106</w:t>
      </w:r>
      <w:r w:rsidR="00EB5D23" w:rsidRPr="00077970">
        <w:rPr>
          <w:rFonts w:ascii="Times New Roman" w:hAnsi="Times New Roman" w:cs="Times New Roman"/>
        </w:rPr>
        <w:t>)</w:t>
      </w:r>
      <w:r w:rsidR="00773050" w:rsidRPr="00077970">
        <w:rPr>
          <w:rFonts w:ascii="Times New Roman" w:hAnsi="Times New Roman" w:cs="Times New Roman"/>
        </w:rPr>
        <w:t xml:space="preserve"> continues: </w:t>
      </w:r>
      <w:r w:rsidR="00694905" w:rsidRPr="00077970">
        <w:rPr>
          <w:rFonts w:ascii="Times New Roman" w:hAnsi="Times New Roman" w:cs="Times New Roman"/>
        </w:rPr>
        <w:t xml:space="preserve">“But a child will not ordinarily stick to such a belief and will soon be convinced by what we tell him seriously” and in </w:t>
      </w:r>
      <w:r w:rsidR="00EB5D23" w:rsidRPr="00077970">
        <w:rPr>
          <w:rFonts w:ascii="Times New Roman" w:hAnsi="Times New Roman" w:cs="Times New Roman"/>
        </w:rPr>
        <w:t>(</w:t>
      </w:r>
      <w:r w:rsidR="00694905" w:rsidRPr="00077970">
        <w:rPr>
          <w:rFonts w:ascii="Times New Roman" w:hAnsi="Times New Roman" w:cs="Times New Roman"/>
        </w:rPr>
        <w:t>OC 108</w:t>
      </w:r>
      <w:r w:rsidR="00077970" w:rsidRPr="00077970">
        <w:rPr>
          <w:rFonts w:ascii="Times New Roman" w:hAnsi="Times New Roman" w:cs="Times New Roman"/>
        </w:rPr>
        <w:t>)</w:t>
      </w:r>
      <w:r w:rsidR="00694905" w:rsidRPr="00077970">
        <w:rPr>
          <w:rFonts w:ascii="Times New Roman" w:hAnsi="Times New Roman" w:cs="Times New Roman"/>
        </w:rPr>
        <w:t xml:space="preserve">, </w:t>
      </w:r>
      <w:r w:rsidR="00EB5D23" w:rsidRPr="00077970">
        <w:rPr>
          <w:rFonts w:ascii="Times New Roman" w:hAnsi="Times New Roman" w:cs="Times New Roman"/>
        </w:rPr>
        <w:t>he writes:</w:t>
      </w:r>
    </w:p>
    <w:p w14:paraId="6E5F4061" w14:textId="41D45137" w:rsidR="00077970" w:rsidRPr="00077970" w:rsidRDefault="00077970" w:rsidP="00077970">
      <w:pPr>
        <w:pStyle w:val="FootnoteText"/>
        <w:spacing w:after="120" w:line="360" w:lineRule="auto"/>
        <w:ind w:left="720"/>
        <w:jc w:val="both"/>
        <w:rPr>
          <w:rFonts w:ascii="Times New Roman" w:hAnsi="Times New Roman" w:cs="Times New Roman"/>
        </w:rPr>
      </w:pPr>
      <w:r w:rsidRPr="00077970">
        <w:rPr>
          <w:rFonts w:ascii="Times New Roman" w:hAnsi="Times New Roman" w:cs="Times New Roman"/>
        </w:rPr>
        <w:t>But is there then no objective truth? Isn't it true, or false, that someone has been on the moon?" If we are thinking within our system, then it is certain that no one has ever been on the moon. Not merely is nothing of the sort ever seriously reported to us by reasonable people, but our whole system of physics forbids us to believe it. For this demands answers to the questions "How did he overcome the force of gravity?" "How could he live without an atmosphere?" and a thousand others which could not be answered. But suppose that instead of all these answers we met the reply: "We don't know how one gets to the moon, but those who get there know at once that they are there; and even you can't explain everything." We should feel ourselves intellectually very distant from someone who said this.</w:t>
      </w:r>
    </w:p>
    <w:p w14:paraId="6EB26123" w14:textId="6A238A50" w:rsidR="00077970" w:rsidRPr="00077970" w:rsidRDefault="00077970" w:rsidP="00077970">
      <w:pPr>
        <w:pStyle w:val="FootnoteText"/>
        <w:spacing w:after="120" w:line="360" w:lineRule="auto"/>
        <w:jc w:val="both"/>
        <w:rPr>
          <w:rFonts w:ascii="Times New Roman" w:hAnsi="Times New Roman" w:cs="Times New Roman"/>
        </w:rPr>
      </w:pPr>
      <w:r w:rsidRPr="00077970">
        <w:rPr>
          <w:rFonts w:ascii="Times New Roman" w:hAnsi="Times New Roman" w:cs="Times New Roman"/>
        </w:rPr>
        <w:t xml:space="preserve">I have discussed at length the anti-relativist implications of this passage in </w:t>
      </w:r>
      <w:r w:rsidRPr="00967863">
        <w:rPr>
          <w:rFonts w:ascii="Times New Roman" w:hAnsi="Times New Roman" w:cs="Times New Roman"/>
        </w:rPr>
        <w:t>Coliva (2010, 2015, 2022). However</w:t>
      </w:r>
      <w:r>
        <w:rPr>
          <w:rFonts w:ascii="Times New Roman" w:hAnsi="Times New Roman" w:cs="Times New Roman"/>
        </w:rPr>
        <w:t>, I do agree with Kusch that the dispute between believers and non-believers and</w:t>
      </w:r>
      <w:r w:rsidR="00D45C3B">
        <w:rPr>
          <w:rFonts w:ascii="Times New Roman" w:hAnsi="Times New Roman" w:cs="Times New Roman"/>
        </w:rPr>
        <w:t xml:space="preserve"> – as I would add –</w:t>
      </w:r>
      <w:r>
        <w:rPr>
          <w:rFonts w:ascii="Times New Roman" w:hAnsi="Times New Roman" w:cs="Times New Roman"/>
        </w:rPr>
        <w:t xml:space="preserve"> the one between practitioners of different religious creeds, like Christians and Muslims, over certain specific</w:t>
      </w:r>
      <w:r w:rsidR="002B782A">
        <w:rPr>
          <w:rFonts w:ascii="Times New Roman" w:hAnsi="Times New Roman" w:cs="Times New Roman"/>
        </w:rPr>
        <w:t xml:space="preserve"> religious</w:t>
      </w:r>
      <w:r>
        <w:rPr>
          <w:rFonts w:ascii="Times New Roman" w:hAnsi="Times New Roman" w:cs="Times New Roman"/>
        </w:rPr>
        <w:t xml:space="preserve"> matters</w:t>
      </w:r>
      <w:r w:rsidR="003E0FC5">
        <w:rPr>
          <w:rFonts w:ascii="Times New Roman" w:hAnsi="Times New Roman" w:cs="Times New Roman"/>
        </w:rPr>
        <w:t xml:space="preserve"> (such as the divine nature of Jesus Christ)</w:t>
      </w:r>
      <w:r>
        <w:rPr>
          <w:rFonts w:ascii="Times New Roman" w:hAnsi="Times New Roman" w:cs="Times New Roman"/>
        </w:rPr>
        <w:t xml:space="preserve">, </w:t>
      </w:r>
      <w:r w:rsidR="00116D4A">
        <w:rPr>
          <w:rFonts w:ascii="Times New Roman" w:hAnsi="Times New Roman" w:cs="Times New Roman"/>
        </w:rPr>
        <w:t>would be cases in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C9D"/>
    <w:multiLevelType w:val="multilevel"/>
    <w:tmpl w:val="07989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F37"/>
    <w:multiLevelType w:val="multilevel"/>
    <w:tmpl w:val="07989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274F0F"/>
    <w:multiLevelType w:val="multilevel"/>
    <w:tmpl w:val="A35A1C1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8A0EA9"/>
    <w:multiLevelType w:val="multilevel"/>
    <w:tmpl w:val="A35A1C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1B05CC1"/>
    <w:multiLevelType w:val="multilevel"/>
    <w:tmpl w:val="4C76B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168F6"/>
    <w:multiLevelType w:val="multilevel"/>
    <w:tmpl w:val="07989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B46F45"/>
    <w:multiLevelType w:val="multilevel"/>
    <w:tmpl w:val="DCD090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BB1A25"/>
    <w:multiLevelType w:val="multilevel"/>
    <w:tmpl w:val="07989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F13EA4"/>
    <w:multiLevelType w:val="multilevel"/>
    <w:tmpl w:val="A35A1C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50C4565"/>
    <w:multiLevelType w:val="hybridMultilevel"/>
    <w:tmpl w:val="A67C970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777978">
    <w:abstractNumId w:val="1"/>
  </w:num>
  <w:num w:numId="2" w16cid:durableId="1903245792">
    <w:abstractNumId w:val="5"/>
  </w:num>
  <w:num w:numId="3" w16cid:durableId="1391726547">
    <w:abstractNumId w:val="8"/>
  </w:num>
  <w:num w:numId="4" w16cid:durableId="243563874">
    <w:abstractNumId w:val="4"/>
  </w:num>
  <w:num w:numId="5" w16cid:durableId="443964164">
    <w:abstractNumId w:val="3"/>
  </w:num>
  <w:num w:numId="6" w16cid:durableId="1120035238">
    <w:abstractNumId w:val="2"/>
  </w:num>
  <w:num w:numId="7" w16cid:durableId="806774533">
    <w:abstractNumId w:val="6"/>
  </w:num>
  <w:num w:numId="8" w16cid:durableId="741832206">
    <w:abstractNumId w:val="7"/>
  </w:num>
  <w:num w:numId="9" w16cid:durableId="58527239">
    <w:abstractNumId w:val="9"/>
  </w:num>
  <w:num w:numId="10" w16cid:durableId="53099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7A"/>
    <w:rsid w:val="00001ED0"/>
    <w:rsid w:val="00002EC1"/>
    <w:rsid w:val="00002F92"/>
    <w:rsid w:val="0000324E"/>
    <w:rsid w:val="00005A07"/>
    <w:rsid w:val="00006B6E"/>
    <w:rsid w:val="0000779B"/>
    <w:rsid w:val="00007E5F"/>
    <w:rsid w:val="0001332C"/>
    <w:rsid w:val="00016CCA"/>
    <w:rsid w:val="00023F6B"/>
    <w:rsid w:val="0002502B"/>
    <w:rsid w:val="000271F6"/>
    <w:rsid w:val="000305D6"/>
    <w:rsid w:val="000310EE"/>
    <w:rsid w:val="000432AC"/>
    <w:rsid w:val="000479C3"/>
    <w:rsid w:val="00047CA4"/>
    <w:rsid w:val="000518E4"/>
    <w:rsid w:val="000536DC"/>
    <w:rsid w:val="000547DF"/>
    <w:rsid w:val="00064AF6"/>
    <w:rsid w:val="00065023"/>
    <w:rsid w:val="00065DAE"/>
    <w:rsid w:val="00067355"/>
    <w:rsid w:val="000709D8"/>
    <w:rsid w:val="000719F6"/>
    <w:rsid w:val="00077970"/>
    <w:rsid w:val="0008139C"/>
    <w:rsid w:val="00084CDE"/>
    <w:rsid w:val="000860FE"/>
    <w:rsid w:val="00093568"/>
    <w:rsid w:val="0009484D"/>
    <w:rsid w:val="0009782E"/>
    <w:rsid w:val="00097A30"/>
    <w:rsid w:val="000A137F"/>
    <w:rsid w:val="000A19AD"/>
    <w:rsid w:val="000A4011"/>
    <w:rsid w:val="000B51EF"/>
    <w:rsid w:val="000B6E7A"/>
    <w:rsid w:val="000B75E7"/>
    <w:rsid w:val="000B7F58"/>
    <w:rsid w:val="000C03BB"/>
    <w:rsid w:val="000C1F33"/>
    <w:rsid w:val="000C3049"/>
    <w:rsid w:val="000C35B4"/>
    <w:rsid w:val="000C43A4"/>
    <w:rsid w:val="000C6899"/>
    <w:rsid w:val="000D17A8"/>
    <w:rsid w:val="000E2539"/>
    <w:rsid w:val="000E5C58"/>
    <w:rsid w:val="000E6ECB"/>
    <w:rsid w:val="000E7075"/>
    <w:rsid w:val="000F19DA"/>
    <w:rsid w:val="000F4BE1"/>
    <w:rsid w:val="000F4F62"/>
    <w:rsid w:val="000F6971"/>
    <w:rsid w:val="000F6CA2"/>
    <w:rsid w:val="00103D17"/>
    <w:rsid w:val="00104E25"/>
    <w:rsid w:val="001076AA"/>
    <w:rsid w:val="00116D4A"/>
    <w:rsid w:val="00122748"/>
    <w:rsid w:val="0012710C"/>
    <w:rsid w:val="00127C0F"/>
    <w:rsid w:val="00132DF1"/>
    <w:rsid w:val="00133781"/>
    <w:rsid w:val="001364ED"/>
    <w:rsid w:val="00141E53"/>
    <w:rsid w:val="00145D1C"/>
    <w:rsid w:val="00157234"/>
    <w:rsid w:val="0016023A"/>
    <w:rsid w:val="00161664"/>
    <w:rsid w:val="00165CAA"/>
    <w:rsid w:val="001709E8"/>
    <w:rsid w:val="00170F64"/>
    <w:rsid w:val="001723AC"/>
    <w:rsid w:val="00174757"/>
    <w:rsid w:val="00177621"/>
    <w:rsid w:val="00183792"/>
    <w:rsid w:val="00183B3A"/>
    <w:rsid w:val="001845CF"/>
    <w:rsid w:val="00185304"/>
    <w:rsid w:val="001864FC"/>
    <w:rsid w:val="00186A25"/>
    <w:rsid w:val="00186D5A"/>
    <w:rsid w:val="0018702D"/>
    <w:rsid w:val="00192215"/>
    <w:rsid w:val="0019336E"/>
    <w:rsid w:val="0019438F"/>
    <w:rsid w:val="001978BA"/>
    <w:rsid w:val="001A44AE"/>
    <w:rsid w:val="001B1132"/>
    <w:rsid w:val="001B146A"/>
    <w:rsid w:val="001B2F58"/>
    <w:rsid w:val="001B448C"/>
    <w:rsid w:val="001C210B"/>
    <w:rsid w:val="001C4180"/>
    <w:rsid w:val="001C592C"/>
    <w:rsid w:val="001C7249"/>
    <w:rsid w:val="001D1338"/>
    <w:rsid w:val="001D3E83"/>
    <w:rsid w:val="001D403C"/>
    <w:rsid w:val="001D5845"/>
    <w:rsid w:val="001E007F"/>
    <w:rsid w:val="001E290A"/>
    <w:rsid w:val="001E3197"/>
    <w:rsid w:val="001E4468"/>
    <w:rsid w:val="001E48D1"/>
    <w:rsid w:val="001E5764"/>
    <w:rsid w:val="001F09A5"/>
    <w:rsid w:val="001F41FC"/>
    <w:rsid w:val="001F589E"/>
    <w:rsid w:val="00200089"/>
    <w:rsid w:val="002000A1"/>
    <w:rsid w:val="00202E9D"/>
    <w:rsid w:val="0020312B"/>
    <w:rsid w:val="00203612"/>
    <w:rsid w:val="002041B6"/>
    <w:rsid w:val="0021102B"/>
    <w:rsid w:val="00221CC2"/>
    <w:rsid w:val="002266D2"/>
    <w:rsid w:val="00230788"/>
    <w:rsid w:val="00243AD0"/>
    <w:rsid w:val="00243EE3"/>
    <w:rsid w:val="00244506"/>
    <w:rsid w:val="00245CB4"/>
    <w:rsid w:val="00246527"/>
    <w:rsid w:val="0025178C"/>
    <w:rsid w:val="00256D45"/>
    <w:rsid w:val="00275250"/>
    <w:rsid w:val="00275996"/>
    <w:rsid w:val="00280471"/>
    <w:rsid w:val="002837C9"/>
    <w:rsid w:val="00284325"/>
    <w:rsid w:val="00286C79"/>
    <w:rsid w:val="00287B62"/>
    <w:rsid w:val="002903E1"/>
    <w:rsid w:val="00295D80"/>
    <w:rsid w:val="0029636D"/>
    <w:rsid w:val="002A47AE"/>
    <w:rsid w:val="002A59E6"/>
    <w:rsid w:val="002A707A"/>
    <w:rsid w:val="002A78BA"/>
    <w:rsid w:val="002B782A"/>
    <w:rsid w:val="002C0571"/>
    <w:rsid w:val="002C2E4E"/>
    <w:rsid w:val="002C40D9"/>
    <w:rsid w:val="002D2153"/>
    <w:rsid w:val="002D293C"/>
    <w:rsid w:val="002D55AE"/>
    <w:rsid w:val="002E2DD6"/>
    <w:rsid w:val="002E5085"/>
    <w:rsid w:val="002E6F6B"/>
    <w:rsid w:val="002F4E2D"/>
    <w:rsid w:val="002F5665"/>
    <w:rsid w:val="003074C5"/>
    <w:rsid w:val="003206D2"/>
    <w:rsid w:val="003215A7"/>
    <w:rsid w:val="00321A2B"/>
    <w:rsid w:val="0032483A"/>
    <w:rsid w:val="003259D2"/>
    <w:rsid w:val="003264FB"/>
    <w:rsid w:val="0033001A"/>
    <w:rsid w:val="00330983"/>
    <w:rsid w:val="0033466E"/>
    <w:rsid w:val="0033596F"/>
    <w:rsid w:val="003418D9"/>
    <w:rsid w:val="003434BD"/>
    <w:rsid w:val="00346860"/>
    <w:rsid w:val="00355C57"/>
    <w:rsid w:val="003608ED"/>
    <w:rsid w:val="00360D2B"/>
    <w:rsid w:val="00362CD3"/>
    <w:rsid w:val="00363B15"/>
    <w:rsid w:val="00365350"/>
    <w:rsid w:val="00366702"/>
    <w:rsid w:val="00366A3A"/>
    <w:rsid w:val="0037568A"/>
    <w:rsid w:val="00377CF5"/>
    <w:rsid w:val="00377F5D"/>
    <w:rsid w:val="00383448"/>
    <w:rsid w:val="00391E3C"/>
    <w:rsid w:val="003A137C"/>
    <w:rsid w:val="003A2D32"/>
    <w:rsid w:val="003A316A"/>
    <w:rsid w:val="003A35CD"/>
    <w:rsid w:val="003A4F96"/>
    <w:rsid w:val="003B0B13"/>
    <w:rsid w:val="003C0F3A"/>
    <w:rsid w:val="003C3960"/>
    <w:rsid w:val="003D3D0F"/>
    <w:rsid w:val="003D7188"/>
    <w:rsid w:val="003E0E12"/>
    <w:rsid w:val="003E0FC5"/>
    <w:rsid w:val="003E2DA4"/>
    <w:rsid w:val="003E6F6C"/>
    <w:rsid w:val="003E74AC"/>
    <w:rsid w:val="003F11D3"/>
    <w:rsid w:val="003F1DCC"/>
    <w:rsid w:val="003F226C"/>
    <w:rsid w:val="003F279B"/>
    <w:rsid w:val="003F4838"/>
    <w:rsid w:val="003F4CB8"/>
    <w:rsid w:val="0040603C"/>
    <w:rsid w:val="00406907"/>
    <w:rsid w:val="004104F7"/>
    <w:rsid w:val="0041065D"/>
    <w:rsid w:val="004150A2"/>
    <w:rsid w:val="0041721D"/>
    <w:rsid w:val="004226DC"/>
    <w:rsid w:val="00432B71"/>
    <w:rsid w:val="00435035"/>
    <w:rsid w:val="00436A09"/>
    <w:rsid w:val="00436E6F"/>
    <w:rsid w:val="0044151C"/>
    <w:rsid w:val="00441C8D"/>
    <w:rsid w:val="00443DEB"/>
    <w:rsid w:val="0044575B"/>
    <w:rsid w:val="00454DEB"/>
    <w:rsid w:val="00454EDC"/>
    <w:rsid w:val="004650C5"/>
    <w:rsid w:val="004671AA"/>
    <w:rsid w:val="00470343"/>
    <w:rsid w:val="00474FC9"/>
    <w:rsid w:val="0047639B"/>
    <w:rsid w:val="0047724F"/>
    <w:rsid w:val="00477FD5"/>
    <w:rsid w:val="004800A6"/>
    <w:rsid w:val="004807D2"/>
    <w:rsid w:val="00480B6E"/>
    <w:rsid w:val="004927BC"/>
    <w:rsid w:val="00495919"/>
    <w:rsid w:val="00496879"/>
    <w:rsid w:val="00496EB2"/>
    <w:rsid w:val="004A02B6"/>
    <w:rsid w:val="004A486E"/>
    <w:rsid w:val="004A55CC"/>
    <w:rsid w:val="004A5713"/>
    <w:rsid w:val="004A640D"/>
    <w:rsid w:val="004A6F5C"/>
    <w:rsid w:val="004B25BB"/>
    <w:rsid w:val="004B2802"/>
    <w:rsid w:val="004B2ED1"/>
    <w:rsid w:val="004B4DF6"/>
    <w:rsid w:val="004B7C21"/>
    <w:rsid w:val="004C05FF"/>
    <w:rsid w:val="004C1E57"/>
    <w:rsid w:val="004C1FAB"/>
    <w:rsid w:val="004C4ACB"/>
    <w:rsid w:val="004C5C3E"/>
    <w:rsid w:val="004C7491"/>
    <w:rsid w:val="004C74E0"/>
    <w:rsid w:val="004D03AC"/>
    <w:rsid w:val="004E0D15"/>
    <w:rsid w:val="004E0F81"/>
    <w:rsid w:val="004E34E5"/>
    <w:rsid w:val="004E4A02"/>
    <w:rsid w:val="004E61C0"/>
    <w:rsid w:val="004E6557"/>
    <w:rsid w:val="00500D93"/>
    <w:rsid w:val="005030D1"/>
    <w:rsid w:val="00503B83"/>
    <w:rsid w:val="005067B2"/>
    <w:rsid w:val="00506FC8"/>
    <w:rsid w:val="0050774B"/>
    <w:rsid w:val="005107C1"/>
    <w:rsid w:val="0051365E"/>
    <w:rsid w:val="00517CD8"/>
    <w:rsid w:val="005238AB"/>
    <w:rsid w:val="00526AF2"/>
    <w:rsid w:val="00527937"/>
    <w:rsid w:val="00530354"/>
    <w:rsid w:val="00541F0C"/>
    <w:rsid w:val="00543A0A"/>
    <w:rsid w:val="00544EFE"/>
    <w:rsid w:val="00547AE2"/>
    <w:rsid w:val="00551521"/>
    <w:rsid w:val="00552844"/>
    <w:rsid w:val="005552A1"/>
    <w:rsid w:val="00555F9C"/>
    <w:rsid w:val="00565ABC"/>
    <w:rsid w:val="00573282"/>
    <w:rsid w:val="00575342"/>
    <w:rsid w:val="005800A1"/>
    <w:rsid w:val="00580751"/>
    <w:rsid w:val="00582646"/>
    <w:rsid w:val="00582FC7"/>
    <w:rsid w:val="00584342"/>
    <w:rsid w:val="00587FC9"/>
    <w:rsid w:val="0059026F"/>
    <w:rsid w:val="00591CAD"/>
    <w:rsid w:val="00595050"/>
    <w:rsid w:val="00595A85"/>
    <w:rsid w:val="005A02DC"/>
    <w:rsid w:val="005A0A53"/>
    <w:rsid w:val="005A32F0"/>
    <w:rsid w:val="005A448B"/>
    <w:rsid w:val="005A5152"/>
    <w:rsid w:val="005B142A"/>
    <w:rsid w:val="005B4172"/>
    <w:rsid w:val="005B6025"/>
    <w:rsid w:val="005B74ED"/>
    <w:rsid w:val="005C0E3D"/>
    <w:rsid w:val="005C7F70"/>
    <w:rsid w:val="005D03B0"/>
    <w:rsid w:val="005D109D"/>
    <w:rsid w:val="005D263E"/>
    <w:rsid w:val="005D2DB2"/>
    <w:rsid w:val="005D307E"/>
    <w:rsid w:val="005D7579"/>
    <w:rsid w:val="005E4CB3"/>
    <w:rsid w:val="005E5E3B"/>
    <w:rsid w:val="005E670E"/>
    <w:rsid w:val="005F24DC"/>
    <w:rsid w:val="005F60F5"/>
    <w:rsid w:val="00600932"/>
    <w:rsid w:val="006011E3"/>
    <w:rsid w:val="00601D48"/>
    <w:rsid w:val="006034C8"/>
    <w:rsid w:val="0060406E"/>
    <w:rsid w:val="00604CD8"/>
    <w:rsid w:val="00605631"/>
    <w:rsid w:val="00606E7F"/>
    <w:rsid w:val="00610770"/>
    <w:rsid w:val="00611CC7"/>
    <w:rsid w:val="0061436D"/>
    <w:rsid w:val="00624163"/>
    <w:rsid w:val="00625402"/>
    <w:rsid w:val="0062655B"/>
    <w:rsid w:val="00626820"/>
    <w:rsid w:val="00627D7C"/>
    <w:rsid w:val="00632F90"/>
    <w:rsid w:val="0063352F"/>
    <w:rsid w:val="00635191"/>
    <w:rsid w:val="00644E19"/>
    <w:rsid w:val="00655226"/>
    <w:rsid w:val="00665852"/>
    <w:rsid w:val="00672B24"/>
    <w:rsid w:val="00675014"/>
    <w:rsid w:val="00676C0D"/>
    <w:rsid w:val="00685E95"/>
    <w:rsid w:val="00686851"/>
    <w:rsid w:val="00692097"/>
    <w:rsid w:val="00692C32"/>
    <w:rsid w:val="006935B9"/>
    <w:rsid w:val="006942E2"/>
    <w:rsid w:val="00694438"/>
    <w:rsid w:val="00694905"/>
    <w:rsid w:val="006A246E"/>
    <w:rsid w:val="006A333B"/>
    <w:rsid w:val="006A434B"/>
    <w:rsid w:val="006B22DF"/>
    <w:rsid w:val="006B268A"/>
    <w:rsid w:val="006B3686"/>
    <w:rsid w:val="006B3A6A"/>
    <w:rsid w:val="006B5B1F"/>
    <w:rsid w:val="006C212F"/>
    <w:rsid w:val="006D1FCE"/>
    <w:rsid w:val="006D62DE"/>
    <w:rsid w:val="006D6E3A"/>
    <w:rsid w:val="006D7747"/>
    <w:rsid w:val="006E19E7"/>
    <w:rsid w:val="006E1FFC"/>
    <w:rsid w:val="006E4AFE"/>
    <w:rsid w:val="006E6775"/>
    <w:rsid w:val="00707F41"/>
    <w:rsid w:val="00711073"/>
    <w:rsid w:val="0071459B"/>
    <w:rsid w:val="00715128"/>
    <w:rsid w:val="00716293"/>
    <w:rsid w:val="007217EE"/>
    <w:rsid w:val="00722810"/>
    <w:rsid w:val="00723E13"/>
    <w:rsid w:val="0072455F"/>
    <w:rsid w:val="00725B75"/>
    <w:rsid w:val="0073037D"/>
    <w:rsid w:val="0073055E"/>
    <w:rsid w:val="00731D84"/>
    <w:rsid w:val="00733DB5"/>
    <w:rsid w:val="007358DB"/>
    <w:rsid w:val="00736EC5"/>
    <w:rsid w:val="007370EF"/>
    <w:rsid w:val="0074374D"/>
    <w:rsid w:val="00745221"/>
    <w:rsid w:val="00751B5B"/>
    <w:rsid w:val="0075533E"/>
    <w:rsid w:val="00760655"/>
    <w:rsid w:val="00762719"/>
    <w:rsid w:val="007669B6"/>
    <w:rsid w:val="00767243"/>
    <w:rsid w:val="00772EBD"/>
    <w:rsid w:val="00773050"/>
    <w:rsid w:val="0077397B"/>
    <w:rsid w:val="00774801"/>
    <w:rsid w:val="00776E36"/>
    <w:rsid w:val="00777892"/>
    <w:rsid w:val="00777B42"/>
    <w:rsid w:val="00780B1A"/>
    <w:rsid w:val="00781BE7"/>
    <w:rsid w:val="0078278B"/>
    <w:rsid w:val="007831C5"/>
    <w:rsid w:val="00786B1E"/>
    <w:rsid w:val="007873B3"/>
    <w:rsid w:val="00790F47"/>
    <w:rsid w:val="007926CE"/>
    <w:rsid w:val="007940BB"/>
    <w:rsid w:val="007A116C"/>
    <w:rsid w:val="007A24F0"/>
    <w:rsid w:val="007A2F7C"/>
    <w:rsid w:val="007A4768"/>
    <w:rsid w:val="007A5B88"/>
    <w:rsid w:val="007B0AC7"/>
    <w:rsid w:val="007B18E2"/>
    <w:rsid w:val="007B1F69"/>
    <w:rsid w:val="007B27BE"/>
    <w:rsid w:val="007B28C0"/>
    <w:rsid w:val="007B607F"/>
    <w:rsid w:val="007C4083"/>
    <w:rsid w:val="007C63B8"/>
    <w:rsid w:val="007C7499"/>
    <w:rsid w:val="007D0BBF"/>
    <w:rsid w:val="007D692E"/>
    <w:rsid w:val="007E2C3F"/>
    <w:rsid w:val="007E3DB6"/>
    <w:rsid w:val="007E3F09"/>
    <w:rsid w:val="007E4953"/>
    <w:rsid w:val="007F10C8"/>
    <w:rsid w:val="007F193C"/>
    <w:rsid w:val="00803255"/>
    <w:rsid w:val="00803923"/>
    <w:rsid w:val="00803EED"/>
    <w:rsid w:val="008046F3"/>
    <w:rsid w:val="00804E7F"/>
    <w:rsid w:val="00812934"/>
    <w:rsid w:val="00812FF5"/>
    <w:rsid w:val="008171F9"/>
    <w:rsid w:val="00822F8C"/>
    <w:rsid w:val="008241B6"/>
    <w:rsid w:val="00825663"/>
    <w:rsid w:val="00825BEA"/>
    <w:rsid w:val="0084158B"/>
    <w:rsid w:val="0084729A"/>
    <w:rsid w:val="00851802"/>
    <w:rsid w:val="00852BC5"/>
    <w:rsid w:val="008542CC"/>
    <w:rsid w:val="008549DC"/>
    <w:rsid w:val="0085512C"/>
    <w:rsid w:val="00861CCE"/>
    <w:rsid w:val="008625B9"/>
    <w:rsid w:val="0086267D"/>
    <w:rsid w:val="00866B61"/>
    <w:rsid w:val="0087155D"/>
    <w:rsid w:val="00872505"/>
    <w:rsid w:val="008731B7"/>
    <w:rsid w:val="00877441"/>
    <w:rsid w:val="008806B7"/>
    <w:rsid w:val="00883029"/>
    <w:rsid w:val="00884965"/>
    <w:rsid w:val="00887D4E"/>
    <w:rsid w:val="00896E90"/>
    <w:rsid w:val="008A674B"/>
    <w:rsid w:val="008A70D1"/>
    <w:rsid w:val="008C1536"/>
    <w:rsid w:val="008C303B"/>
    <w:rsid w:val="008C4FCA"/>
    <w:rsid w:val="008D7092"/>
    <w:rsid w:val="008E137A"/>
    <w:rsid w:val="008E5C3E"/>
    <w:rsid w:val="008E6567"/>
    <w:rsid w:val="008F38A4"/>
    <w:rsid w:val="008F47EC"/>
    <w:rsid w:val="00907412"/>
    <w:rsid w:val="00907D96"/>
    <w:rsid w:val="0091003D"/>
    <w:rsid w:val="00914DC6"/>
    <w:rsid w:val="00914DE1"/>
    <w:rsid w:val="0091523F"/>
    <w:rsid w:val="0091543A"/>
    <w:rsid w:val="0091548A"/>
    <w:rsid w:val="00915776"/>
    <w:rsid w:val="0091594E"/>
    <w:rsid w:val="00924729"/>
    <w:rsid w:val="0092565F"/>
    <w:rsid w:val="00933C1C"/>
    <w:rsid w:val="00934789"/>
    <w:rsid w:val="00936262"/>
    <w:rsid w:val="00942601"/>
    <w:rsid w:val="0094487A"/>
    <w:rsid w:val="00945169"/>
    <w:rsid w:val="009455C1"/>
    <w:rsid w:val="009468CC"/>
    <w:rsid w:val="0095018D"/>
    <w:rsid w:val="0095306C"/>
    <w:rsid w:val="009541EB"/>
    <w:rsid w:val="00956018"/>
    <w:rsid w:val="00957D3D"/>
    <w:rsid w:val="00957DE2"/>
    <w:rsid w:val="00961F80"/>
    <w:rsid w:val="00962647"/>
    <w:rsid w:val="009627F7"/>
    <w:rsid w:val="009629DC"/>
    <w:rsid w:val="00966811"/>
    <w:rsid w:val="00967863"/>
    <w:rsid w:val="00967B6F"/>
    <w:rsid w:val="0098140D"/>
    <w:rsid w:val="00981EF6"/>
    <w:rsid w:val="009856C2"/>
    <w:rsid w:val="00990525"/>
    <w:rsid w:val="009913E9"/>
    <w:rsid w:val="00991984"/>
    <w:rsid w:val="00991A35"/>
    <w:rsid w:val="009A1AF0"/>
    <w:rsid w:val="009A1EB4"/>
    <w:rsid w:val="009A484C"/>
    <w:rsid w:val="009B1DE6"/>
    <w:rsid w:val="009B39FC"/>
    <w:rsid w:val="009B4D9E"/>
    <w:rsid w:val="009C3247"/>
    <w:rsid w:val="009C47E2"/>
    <w:rsid w:val="009C5847"/>
    <w:rsid w:val="009D5B9B"/>
    <w:rsid w:val="009D7C32"/>
    <w:rsid w:val="009E118B"/>
    <w:rsid w:val="009E122C"/>
    <w:rsid w:val="009E1A02"/>
    <w:rsid w:val="009E3B17"/>
    <w:rsid w:val="009E577D"/>
    <w:rsid w:val="009E73E8"/>
    <w:rsid w:val="009F17BD"/>
    <w:rsid w:val="009F1BD3"/>
    <w:rsid w:val="009F6683"/>
    <w:rsid w:val="00A007A5"/>
    <w:rsid w:val="00A02471"/>
    <w:rsid w:val="00A15F3D"/>
    <w:rsid w:val="00A21088"/>
    <w:rsid w:val="00A30C15"/>
    <w:rsid w:val="00A40AA4"/>
    <w:rsid w:val="00A43594"/>
    <w:rsid w:val="00A43A8B"/>
    <w:rsid w:val="00A43B30"/>
    <w:rsid w:val="00A44AA9"/>
    <w:rsid w:val="00A50554"/>
    <w:rsid w:val="00A50A90"/>
    <w:rsid w:val="00A57913"/>
    <w:rsid w:val="00A604FF"/>
    <w:rsid w:val="00A61463"/>
    <w:rsid w:val="00A65C82"/>
    <w:rsid w:val="00A702C6"/>
    <w:rsid w:val="00A75729"/>
    <w:rsid w:val="00A8301B"/>
    <w:rsid w:val="00A8368B"/>
    <w:rsid w:val="00A86BD1"/>
    <w:rsid w:val="00A97088"/>
    <w:rsid w:val="00AA0248"/>
    <w:rsid w:val="00AA0A59"/>
    <w:rsid w:val="00AA6990"/>
    <w:rsid w:val="00AA7594"/>
    <w:rsid w:val="00AB47B6"/>
    <w:rsid w:val="00AB498F"/>
    <w:rsid w:val="00AB519D"/>
    <w:rsid w:val="00AB5600"/>
    <w:rsid w:val="00AC5E12"/>
    <w:rsid w:val="00AC7422"/>
    <w:rsid w:val="00AD5194"/>
    <w:rsid w:val="00AD63F0"/>
    <w:rsid w:val="00AE1009"/>
    <w:rsid w:val="00AE1A2E"/>
    <w:rsid w:val="00AE1CB1"/>
    <w:rsid w:val="00AE47E4"/>
    <w:rsid w:val="00AE5990"/>
    <w:rsid w:val="00AE7178"/>
    <w:rsid w:val="00AF266C"/>
    <w:rsid w:val="00AF26CB"/>
    <w:rsid w:val="00AF51C2"/>
    <w:rsid w:val="00AF5974"/>
    <w:rsid w:val="00AF632E"/>
    <w:rsid w:val="00AF7011"/>
    <w:rsid w:val="00B00629"/>
    <w:rsid w:val="00B02928"/>
    <w:rsid w:val="00B04F09"/>
    <w:rsid w:val="00B06A98"/>
    <w:rsid w:val="00B076F7"/>
    <w:rsid w:val="00B119D0"/>
    <w:rsid w:val="00B11DC1"/>
    <w:rsid w:val="00B14296"/>
    <w:rsid w:val="00B16045"/>
    <w:rsid w:val="00B225B2"/>
    <w:rsid w:val="00B237F6"/>
    <w:rsid w:val="00B26E5B"/>
    <w:rsid w:val="00B32A7C"/>
    <w:rsid w:val="00B33B57"/>
    <w:rsid w:val="00B34182"/>
    <w:rsid w:val="00B352FD"/>
    <w:rsid w:val="00B35CB1"/>
    <w:rsid w:val="00B37D68"/>
    <w:rsid w:val="00B45CA6"/>
    <w:rsid w:val="00B5280B"/>
    <w:rsid w:val="00B6224F"/>
    <w:rsid w:val="00B63EA1"/>
    <w:rsid w:val="00B66AFC"/>
    <w:rsid w:val="00B67F89"/>
    <w:rsid w:val="00B731AB"/>
    <w:rsid w:val="00B73A87"/>
    <w:rsid w:val="00B76481"/>
    <w:rsid w:val="00B7707D"/>
    <w:rsid w:val="00B77149"/>
    <w:rsid w:val="00B771D7"/>
    <w:rsid w:val="00B8153A"/>
    <w:rsid w:val="00B8572A"/>
    <w:rsid w:val="00B868D3"/>
    <w:rsid w:val="00B94165"/>
    <w:rsid w:val="00B96529"/>
    <w:rsid w:val="00B9691C"/>
    <w:rsid w:val="00B97F63"/>
    <w:rsid w:val="00BA62A6"/>
    <w:rsid w:val="00BB0EAF"/>
    <w:rsid w:val="00BB1BD2"/>
    <w:rsid w:val="00BC141D"/>
    <w:rsid w:val="00BC27BE"/>
    <w:rsid w:val="00BC3399"/>
    <w:rsid w:val="00BC557D"/>
    <w:rsid w:val="00BC626B"/>
    <w:rsid w:val="00BC7CA5"/>
    <w:rsid w:val="00BC7D79"/>
    <w:rsid w:val="00BD2377"/>
    <w:rsid w:val="00BD2B5B"/>
    <w:rsid w:val="00BD4AF0"/>
    <w:rsid w:val="00BD501D"/>
    <w:rsid w:val="00BD5D12"/>
    <w:rsid w:val="00BD65D8"/>
    <w:rsid w:val="00BE3BC7"/>
    <w:rsid w:val="00BE5E8A"/>
    <w:rsid w:val="00BF1D73"/>
    <w:rsid w:val="00BF28FE"/>
    <w:rsid w:val="00BF3B96"/>
    <w:rsid w:val="00BF4E4D"/>
    <w:rsid w:val="00BF5A47"/>
    <w:rsid w:val="00BF6DB3"/>
    <w:rsid w:val="00BF7ABA"/>
    <w:rsid w:val="00C01397"/>
    <w:rsid w:val="00C02953"/>
    <w:rsid w:val="00C035E6"/>
    <w:rsid w:val="00C17AB1"/>
    <w:rsid w:val="00C2227C"/>
    <w:rsid w:val="00C22426"/>
    <w:rsid w:val="00C25CA3"/>
    <w:rsid w:val="00C3209F"/>
    <w:rsid w:val="00C359A1"/>
    <w:rsid w:val="00C378EF"/>
    <w:rsid w:val="00C42323"/>
    <w:rsid w:val="00C54ADA"/>
    <w:rsid w:val="00C54BEE"/>
    <w:rsid w:val="00C61DE5"/>
    <w:rsid w:val="00C62540"/>
    <w:rsid w:val="00C71297"/>
    <w:rsid w:val="00C72EA7"/>
    <w:rsid w:val="00C73999"/>
    <w:rsid w:val="00C767E0"/>
    <w:rsid w:val="00C820A4"/>
    <w:rsid w:val="00C8417D"/>
    <w:rsid w:val="00C8452C"/>
    <w:rsid w:val="00C93617"/>
    <w:rsid w:val="00C958AD"/>
    <w:rsid w:val="00CA2CC5"/>
    <w:rsid w:val="00CB22AC"/>
    <w:rsid w:val="00CB46DC"/>
    <w:rsid w:val="00CB46F0"/>
    <w:rsid w:val="00CB6130"/>
    <w:rsid w:val="00CB6352"/>
    <w:rsid w:val="00CB671B"/>
    <w:rsid w:val="00CC5417"/>
    <w:rsid w:val="00CD4D4C"/>
    <w:rsid w:val="00CD7379"/>
    <w:rsid w:val="00CD76E7"/>
    <w:rsid w:val="00CE1891"/>
    <w:rsid w:val="00CE5E9A"/>
    <w:rsid w:val="00CF17B4"/>
    <w:rsid w:val="00CF5081"/>
    <w:rsid w:val="00CF660B"/>
    <w:rsid w:val="00CF6C90"/>
    <w:rsid w:val="00CF7069"/>
    <w:rsid w:val="00D01E44"/>
    <w:rsid w:val="00D040A4"/>
    <w:rsid w:val="00D0785F"/>
    <w:rsid w:val="00D10488"/>
    <w:rsid w:val="00D11855"/>
    <w:rsid w:val="00D135B0"/>
    <w:rsid w:val="00D16C87"/>
    <w:rsid w:val="00D16D22"/>
    <w:rsid w:val="00D16DD5"/>
    <w:rsid w:val="00D20C0B"/>
    <w:rsid w:val="00D22A9C"/>
    <w:rsid w:val="00D23940"/>
    <w:rsid w:val="00D26FE6"/>
    <w:rsid w:val="00D31237"/>
    <w:rsid w:val="00D328AB"/>
    <w:rsid w:val="00D3394E"/>
    <w:rsid w:val="00D36128"/>
    <w:rsid w:val="00D374D3"/>
    <w:rsid w:val="00D41E33"/>
    <w:rsid w:val="00D42478"/>
    <w:rsid w:val="00D45C3B"/>
    <w:rsid w:val="00D5388A"/>
    <w:rsid w:val="00D64788"/>
    <w:rsid w:val="00D7140F"/>
    <w:rsid w:val="00D71431"/>
    <w:rsid w:val="00D729C6"/>
    <w:rsid w:val="00D735BC"/>
    <w:rsid w:val="00D778DD"/>
    <w:rsid w:val="00D81501"/>
    <w:rsid w:val="00D83149"/>
    <w:rsid w:val="00D845E8"/>
    <w:rsid w:val="00D9351C"/>
    <w:rsid w:val="00D945F0"/>
    <w:rsid w:val="00D96D93"/>
    <w:rsid w:val="00D9744A"/>
    <w:rsid w:val="00DA133F"/>
    <w:rsid w:val="00DA1C43"/>
    <w:rsid w:val="00DA3D7B"/>
    <w:rsid w:val="00DA3F5D"/>
    <w:rsid w:val="00DA4D93"/>
    <w:rsid w:val="00DA76D5"/>
    <w:rsid w:val="00DB17AE"/>
    <w:rsid w:val="00DB3B5F"/>
    <w:rsid w:val="00DC2898"/>
    <w:rsid w:val="00DD2CAB"/>
    <w:rsid w:val="00DD4935"/>
    <w:rsid w:val="00DE1690"/>
    <w:rsid w:val="00DE5341"/>
    <w:rsid w:val="00DE5A33"/>
    <w:rsid w:val="00DF12E0"/>
    <w:rsid w:val="00DF3DAD"/>
    <w:rsid w:val="00DF71F5"/>
    <w:rsid w:val="00E02B0D"/>
    <w:rsid w:val="00E13707"/>
    <w:rsid w:val="00E147EB"/>
    <w:rsid w:val="00E14F24"/>
    <w:rsid w:val="00E2065A"/>
    <w:rsid w:val="00E22EE8"/>
    <w:rsid w:val="00E24E78"/>
    <w:rsid w:val="00E24ECA"/>
    <w:rsid w:val="00E26B26"/>
    <w:rsid w:val="00E30502"/>
    <w:rsid w:val="00E34D23"/>
    <w:rsid w:val="00E34E2E"/>
    <w:rsid w:val="00E36502"/>
    <w:rsid w:val="00E45E2A"/>
    <w:rsid w:val="00E479F1"/>
    <w:rsid w:val="00E47B8D"/>
    <w:rsid w:val="00E52871"/>
    <w:rsid w:val="00E55039"/>
    <w:rsid w:val="00E60C57"/>
    <w:rsid w:val="00E61300"/>
    <w:rsid w:val="00E625D0"/>
    <w:rsid w:val="00E62F65"/>
    <w:rsid w:val="00E66ECE"/>
    <w:rsid w:val="00E67D87"/>
    <w:rsid w:val="00E70639"/>
    <w:rsid w:val="00E712B6"/>
    <w:rsid w:val="00E754F7"/>
    <w:rsid w:val="00E75F65"/>
    <w:rsid w:val="00E7610D"/>
    <w:rsid w:val="00E815CD"/>
    <w:rsid w:val="00E8201C"/>
    <w:rsid w:val="00E82582"/>
    <w:rsid w:val="00E82D21"/>
    <w:rsid w:val="00E957FE"/>
    <w:rsid w:val="00EA41E3"/>
    <w:rsid w:val="00EA6343"/>
    <w:rsid w:val="00EB2C8C"/>
    <w:rsid w:val="00EB370E"/>
    <w:rsid w:val="00EB3DF5"/>
    <w:rsid w:val="00EB5D23"/>
    <w:rsid w:val="00EC7088"/>
    <w:rsid w:val="00ED2094"/>
    <w:rsid w:val="00ED3105"/>
    <w:rsid w:val="00ED3757"/>
    <w:rsid w:val="00ED4861"/>
    <w:rsid w:val="00ED6C9C"/>
    <w:rsid w:val="00ED6D41"/>
    <w:rsid w:val="00EE16E7"/>
    <w:rsid w:val="00EE1AD8"/>
    <w:rsid w:val="00EE49E1"/>
    <w:rsid w:val="00EE5367"/>
    <w:rsid w:val="00EE5F19"/>
    <w:rsid w:val="00EF3822"/>
    <w:rsid w:val="00EF57E1"/>
    <w:rsid w:val="00EF5988"/>
    <w:rsid w:val="00EF77B9"/>
    <w:rsid w:val="00F167D4"/>
    <w:rsid w:val="00F171B4"/>
    <w:rsid w:val="00F17216"/>
    <w:rsid w:val="00F249CB"/>
    <w:rsid w:val="00F259F3"/>
    <w:rsid w:val="00F27093"/>
    <w:rsid w:val="00F308DF"/>
    <w:rsid w:val="00F33D24"/>
    <w:rsid w:val="00F36473"/>
    <w:rsid w:val="00F36BA0"/>
    <w:rsid w:val="00F470D5"/>
    <w:rsid w:val="00F63612"/>
    <w:rsid w:val="00F6382A"/>
    <w:rsid w:val="00F66D25"/>
    <w:rsid w:val="00F70B39"/>
    <w:rsid w:val="00F71304"/>
    <w:rsid w:val="00F713EA"/>
    <w:rsid w:val="00F73E7F"/>
    <w:rsid w:val="00F82DC4"/>
    <w:rsid w:val="00F83157"/>
    <w:rsid w:val="00F84E6F"/>
    <w:rsid w:val="00F8578B"/>
    <w:rsid w:val="00F92EEE"/>
    <w:rsid w:val="00F94C93"/>
    <w:rsid w:val="00F94F73"/>
    <w:rsid w:val="00FA0ED9"/>
    <w:rsid w:val="00FA356F"/>
    <w:rsid w:val="00FA7529"/>
    <w:rsid w:val="00FA7D33"/>
    <w:rsid w:val="00FB0F44"/>
    <w:rsid w:val="00FB18BA"/>
    <w:rsid w:val="00FB2082"/>
    <w:rsid w:val="00FB3B9D"/>
    <w:rsid w:val="00FB3EBC"/>
    <w:rsid w:val="00FB52F5"/>
    <w:rsid w:val="00FB6735"/>
    <w:rsid w:val="00FC0048"/>
    <w:rsid w:val="00FC142E"/>
    <w:rsid w:val="00FC21D2"/>
    <w:rsid w:val="00FC5B4D"/>
    <w:rsid w:val="00FC7854"/>
    <w:rsid w:val="00FD24C8"/>
    <w:rsid w:val="00FE199A"/>
    <w:rsid w:val="00FE7241"/>
    <w:rsid w:val="00FE7E67"/>
    <w:rsid w:val="00FF1EF0"/>
    <w:rsid w:val="00FF451A"/>
    <w:rsid w:val="00FF5C56"/>
    <w:rsid w:val="00FF68E1"/>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73466"/>
  <w15:chartTrackingRefBased/>
  <w15:docId w15:val="{2834FF04-C4E9-4D75-9F58-45938F73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07A"/>
    <w:pPr>
      <w:spacing w:line="278" w:lineRule="auto"/>
    </w:pPr>
    <w:rPr>
      <w:rFonts w:ascii="Aptos" w:eastAsia="Aptos" w:hAnsi="Aptos" w:cs="Aptos"/>
      <w:kern w:val="0"/>
      <w:sz w:val="24"/>
      <w:szCs w:val="24"/>
      <w:lang w:eastAsia="it-IT"/>
      <w14:ligatures w14:val="none"/>
    </w:rPr>
  </w:style>
  <w:style w:type="paragraph" w:styleId="Heading1">
    <w:name w:val="heading 1"/>
    <w:basedOn w:val="Normal"/>
    <w:next w:val="Normal"/>
    <w:link w:val="Heading1Char"/>
    <w:uiPriority w:val="9"/>
    <w:qFormat/>
    <w:rsid w:val="002A7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7A"/>
    <w:rPr>
      <w:rFonts w:eastAsiaTheme="majorEastAsia" w:cstheme="majorBidi"/>
      <w:color w:val="272727" w:themeColor="text1" w:themeTint="D8"/>
    </w:rPr>
  </w:style>
  <w:style w:type="paragraph" w:styleId="Title">
    <w:name w:val="Title"/>
    <w:basedOn w:val="Normal"/>
    <w:next w:val="Normal"/>
    <w:link w:val="TitleChar"/>
    <w:uiPriority w:val="10"/>
    <w:qFormat/>
    <w:rsid w:val="002A7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7A"/>
    <w:pPr>
      <w:spacing w:before="160"/>
      <w:jc w:val="center"/>
    </w:pPr>
    <w:rPr>
      <w:i/>
      <w:iCs/>
      <w:color w:val="404040" w:themeColor="text1" w:themeTint="BF"/>
    </w:rPr>
  </w:style>
  <w:style w:type="character" w:customStyle="1" w:styleId="QuoteChar">
    <w:name w:val="Quote Char"/>
    <w:basedOn w:val="DefaultParagraphFont"/>
    <w:link w:val="Quote"/>
    <w:uiPriority w:val="29"/>
    <w:rsid w:val="002A707A"/>
    <w:rPr>
      <w:i/>
      <w:iCs/>
      <w:color w:val="404040" w:themeColor="text1" w:themeTint="BF"/>
    </w:rPr>
  </w:style>
  <w:style w:type="paragraph" w:styleId="ListParagraph">
    <w:name w:val="List Paragraph"/>
    <w:basedOn w:val="Normal"/>
    <w:uiPriority w:val="34"/>
    <w:qFormat/>
    <w:rsid w:val="002A707A"/>
    <w:pPr>
      <w:ind w:left="720"/>
      <w:contextualSpacing/>
    </w:pPr>
  </w:style>
  <w:style w:type="character" w:styleId="IntenseEmphasis">
    <w:name w:val="Intense Emphasis"/>
    <w:basedOn w:val="DefaultParagraphFont"/>
    <w:uiPriority w:val="21"/>
    <w:qFormat/>
    <w:rsid w:val="002A707A"/>
    <w:rPr>
      <w:i/>
      <w:iCs/>
      <w:color w:val="0F4761" w:themeColor="accent1" w:themeShade="BF"/>
    </w:rPr>
  </w:style>
  <w:style w:type="paragraph" w:styleId="IntenseQuote">
    <w:name w:val="Intense Quote"/>
    <w:basedOn w:val="Normal"/>
    <w:next w:val="Normal"/>
    <w:link w:val="IntenseQuoteChar"/>
    <w:uiPriority w:val="30"/>
    <w:qFormat/>
    <w:rsid w:val="002A7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07A"/>
    <w:rPr>
      <w:i/>
      <w:iCs/>
      <w:color w:val="0F4761" w:themeColor="accent1" w:themeShade="BF"/>
    </w:rPr>
  </w:style>
  <w:style w:type="character" w:styleId="IntenseReference">
    <w:name w:val="Intense Reference"/>
    <w:basedOn w:val="DefaultParagraphFont"/>
    <w:uiPriority w:val="32"/>
    <w:qFormat/>
    <w:rsid w:val="002A707A"/>
    <w:rPr>
      <w:b/>
      <w:bCs/>
      <w:smallCaps/>
      <w:color w:val="0F4761" w:themeColor="accent1" w:themeShade="BF"/>
      <w:spacing w:val="5"/>
    </w:rPr>
  </w:style>
  <w:style w:type="paragraph" w:styleId="FootnoteText">
    <w:name w:val="footnote text"/>
    <w:basedOn w:val="Normal"/>
    <w:link w:val="FootnoteTextChar"/>
    <w:uiPriority w:val="99"/>
    <w:unhideWhenUsed/>
    <w:rsid w:val="00AB498F"/>
    <w:pPr>
      <w:spacing w:after="0" w:line="240" w:lineRule="auto"/>
    </w:pPr>
    <w:rPr>
      <w:sz w:val="20"/>
      <w:szCs w:val="20"/>
    </w:rPr>
  </w:style>
  <w:style w:type="character" w:customStyle="1" w:styleId="FootnoteTextChar">
    <w:name w:val="Footnote Text Char"/>
    <w:basedOn w:val="DefaultParagraphFont"/>
    <w:link w:val="FootnoteText"/>
    <w:uiPriority w:val="99"/>
    <w:rsid w:val="00AB498F"/>
    <w:rPr>
      <w:rFonts w:ascii="Aptos" w:eastAsia="Aptos" w:hAnsi="Aptos" w:cs="Aptos"/>
      <w:kern w:val="0"/>
      <w:sz w:val="20"/>
      <w:szCs w:val="20"/>
      <w:lang w:eastAsia="it-IT"/>
      <w14:ligatures w14:val="none"/>
    </w:rPr>
  </w:style>
  <w:style w:type="character" w:styleId="FootnoteReference">
    <w:name w:val="footnote reference"/>
    <w:basedOn w:val="DefaultParagraphFont"/>
    <w:uiPriority w:val="99"/>
    <w:unhideWhenUsed/>
    <w:rsid w:val="00AB498F"/>
    <w:rPr>
      <w:vertAlign w:val="superscript"/>
    </w:rPr>
  </w:style>
  <w:style w:type="paragraph" w:styleId="Header">
    <w:name w:val="header"/>
    <w:basedOn w:val="Normal"/>
    <w:link w:val="HeaderChar"/>
    <w:uiPriority w:val="99"/>
    <w:unhideWhenUsed/>
    <w:rsid w:val="0045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DEB"/>
    <w:rPr>
      <w:rFonts w:ascii="Aptos" w:eastAsia="Aptos" w:hAnsi="Aptos" w:cs="Aptos"/>
      <w:kern w:val="0"/>
      <w:sz w:val="24"/>
      <w:szCs w:val="24"/>
      <w:lang w:eastAsia="it-IT"/>
      <w14:ligatures w14:val="none"/>
    </w:rPr>
  </w:style>
  <w:style w:type="paragraph" w:styleId="Footer">
    <w:name w:val="footer"/>
    <w:basedOn w:val="Normal"/>
    <w:link w:val="FooterChar"/>
    <w:uiPriority w:val="99"/>
    <w:unhideWhenUsed/>
    <w:rsid w:val="00454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DEB"/>
    <w:rPr>
      <w:rFonts w:ascii="Aptos" w:eastAsia="Aptos" w:hAnsi="Aptos" w:cs="Aptos"/>
      <w:kern w:val="0"/>
      <w:sz w:val="24"/>
      <w:szCs w:val="24"/>
      <w:lang w:eastAsia="it-IT"/>
      <w14:ligatures w14:val="none"/>
    </w:rPr>
  </w:style>
  <w:style w:type="paragraph" w:styleId="NormalWeb">
    <w:name w:val="Normal (Web)"/>
    <w:basedOn w:val="Normal"/>
    <w:uiPriority w:val="99"/>
    <w:semiHidden/>
    <w:unhideWhenUsed/>
    <w:rsid w:val="009E118B"/>
    <w:rPr>
      <w:rFonts w:ascii="Times New Roman" w:hAnsi="Times New Roman" w:cs="Times New Roman"/>
    </w:rPr>
  </w:style>
  <w:style w:type="paragraph" w:styleId="BodyText">
    <w:name w:val="Body Text"/>
    <w:basedOn w:val="Normal"/>
    <w:link w:val="BodyTextChar"/>
    <w:uiPriority w:val="1"/>
    <w:qFormat/>
    <w:rsid w:val="00C02953"/>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C02953"/>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D4861"/>
    <w:rPr>
      <w:i/>
      <w:iCs/>
    </w:rPr>
  </w:style>
  <w:style w:type="character" w:styleId="Hyperlink">
    <w:name w:val="Hyperlink"/>
    <w:basedOn w:val="DefaultParagraphFont"/>
    <w:uiPriority w:val="99"/>
    <w:unhideWhenUsed/>
    <w:rsid w:val="00D41E33"/>
    <w:rPr>
      <w:color w:val="467886" w:themeColor="hyperlink"/>
      <w:u w:val="single"/>
    </w:rPr>
  </w:style>
  <w:style w:type="character" w:styleId="UnresolvedMention">
    <w:name w:val="Unresolved Mention"/>
    <w:basedOn w:val="DefaultParagraphFont"/>
    <w:uiPriority w:val="99"/>
    <w:semiHidden/>
    <w:unhideWhenUsed/>
    <w:rsid w:val="00D4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7057">
      <w:bodyDiv w:val="1"/>
      <w:marLeft w:val="0"/>
      <w:marRight w:val="0"/>
      <w:marTop w:val="0"/>
      <w:marBottom w:val="0"/>
      <w:divBdr>
        <w:top w:val="none" w:sz="0" w:space="0" w:color="auto"/>
        <w:left w:val="none" w:sz="0" w:space="0" w:color="auto"/>
        <w:bottom w:val="none" w:sz="0" w:space="0" w:color="auto"/>
        <w:right w:val="none" w:sz="0" w:space="0" w:color="auto"/>
      </w:divBdr>
    </w:div>
    <w:div w:id="77682490">
      <w:bodyDiv w:val="1"/>
      <w:marLeft w:val="0"/>
      <w:marRight w:val="0"/>
      <w:marTop w:val="0"/>
      <w:marBottom w:val="0"/>
      <w:divBdr>
        <w:top w:val="none" w:sz="0" w:space="0" w:color="auto"/>
        <w:left w:val="none" w:sz="0" w:space="0" w:color="auto"/>
        <w:bottom w:val="none" w:sz="0" w:space="0" w:color="auto"/>
        <w:right w:val="none" w:sz="0" w:space="0" w:color="auto"/>
      </w:divBdr>
    </w:div>
    <w:div w:id="97456663">
      <w:bodyDiv w:val="1"/>
      <w:marLeft w:val="0"/>
      <w:marRight w:val="0"/>
      <w:marTop w:val="0"/>
      <w:marBottom w:val="0"/>
      <w:divBdr>
        <w:top w:val="none" w:sz="0" w:space="0" w:color="auto"/>
        <w:left w:val="none" w:sz="0" w:space="0" w:color="auto"/>
        <w:bottom w:val="none" w:sz="0" w:space="0" w:color="auto"/>
        <w:right w:val="none" w:sz="0" w:space="0" w:color="auto"/>
      </w:divBdr>
    </w:div>
    <w:div w:id="201744896">
      <w:bodyDiv w:val="1"/>
      <w:marLeft w:val="0"/>
      <w:marRight w:val="0"/>
      <w:marTop w:val="0"/>
      <w:marBottom w:val="0"/>
      <w:divBdr>
        <w:top w:val="none" w:sz="0" w:space="0" w:color="auto"/>
        <w:left w:val="none" w:sz="0" w:space="0" w:color="auto"/>
        <w:bottom w:val="none" w:sz="0" w:space="0" w:color="auto"/>
        <w:right w:val="none" w:sz="0" w:space="0" w:color="auto"/>
      </w:divBdr>
    </w:div>
    <w:div w:id="237862407">
      <w:bodyDiv w:val="1"/>
      <w:marLeft w:val="0"/>
      <w:marRight w:val="0"/>
      <w:marTop w:val="0"/>
      <w:marBottom w:val="0"/>
      <w:divBdr>
        <w:top w:val="none" w:sz="0" w:space="0" w:color="auto"/>
        <w:left w:val="none" w:sz="0" w:space="0" w:color="auto"/>
        <w:bottom w:val="none" w:sz="0" w:space="0" w:color="auto"/>
        <w:right w:val="none" w:sz="0" w:space="0" w:color="auto"/>
      </w:divBdr>
    </w:div>
    <w:div w:id="514072322">
      <w:bodyDiv w:val="1"/>
      <w:marLeft w:val="0"/>
      <w:marRight w:val="0"/>
      <w:marTop w:val="0"/>
      <w:marBottom w:val="0"/>
      <w:divBdr>
        <w:top w:val="none" w:sz="0" w:space="0" w:color="auto"/>
        <w:left w:val="none" w:sz="0" w:space="0" w:color="auto"/>
        <w:bottom w:val="none" w:sz="0" w:space="0" w:color="auto"/>
        <w:right w:val="none" w:sz="0" w:space="0" w:color="auto"/>
      </w:divBdr>
    </w:div>
    <w:div w:id="517739050">
      <w:bodyDiv w:val="1"/>
      <w:marLeft w:val="0"/>
      <w:marRight w:val="0"/>
      <w:marTop w:val="0"/>
      <w:marBottom w:val="0"/>
      <w:divBdr>
        <w:top w:val="none" w:sz="0" w:space="0" w:color="auto"/>
        <w:left w:val="none" w:sz="0" w:space="0" w:color="auto"/>
        <w:bottom w:val="none" w:sz="0" w:space="0" w:color="auto"/>
        <w:right w:val="none" w:sz="0" w:space="0" w:color="auto"/>
      </w:divBdr>
    </w:div>
    <w:div w:id="598682621">
      <w:bodyDiv w:val="1"/>
      <w:marLeft w:val="0"/>
      <w:marRight w:val="0"/>
      <w:marTop w:val="0"/>
      <w:marBottom w:val="0"/>
      <w:divBdr>
        <w:top w:val="none" w:sz="0" w:space="0" w:color="auto"/>
        <w:left w:val="none" w:sz="0" w:space="0" w:color="auto"/>
        <w:bottom w:val="none" w:sz="0" w:space="0" w:color="auto"/>
        <w:right w:val="none" w:sz="0" w:space="0" w:color="auto"/>
      </w:divBdr>
    </w:div>
    <w:div w:id="672530872">
      <w:bodyDiv w:val="1"/>
      <w:marLeft w:val="0"/>
      <w:marRight w:val="0"/>
      <w:marTop w:val="0"/>
      <w:marBottom w:val="0"/>
      <w:divBdr>
        <w:top w:val="none" w:sz="0" w:space="0" w:color="auto"/>
        <w:left w:val="none" w:sz="0" w:space="0" w:color="auto"/>
        <w:bottom w:val="none" w:sz="0" w:space="0" w:color="auto"/>
        <w:right w:val="none" w:sz="0" w:space="0" w:color="auto"/>
      </w:divBdr>
    </w:div>
    <w:div w:id="688993831">
      <w:bodyDiv w:val="1"/>
      <w:marLeft w:val="0"/>
      <w:marRight w:val="0"/>
      <w:marTop w:val="0"/>
      <w:marBottom w:val="0"/>
      <w:divBdr>
        <w:top w:val="none" w:sz="0" w:space="0" w:color="auto"/>
        <w:left w:val="none" w:sz="0" w:space="0" w:color="auto"/>
        <w:bottom w:val="none" w:sz="0" w:space="0" w:color="auto"/>
        <w:right w:val="none" w:sz="0" w:space="0" w:color="auto"/>
      </w:divBdr>
    </w:div>
    <w:div w:id="780298571">
      <w:bodyDiv w:val="1"/>
      <w:marLeft w:val="0"/>
      <w:marRight w:val="0"/>
      <w:marTop w:val="0"/>
      <w:marBottom w:val="0"/>
      <w:divBdr>
        <w:top w:val="none" w:sz="0" w:space="0" w:color="auto"/>
        <w:left w:val="none" w:sz="0" w:space="0" w:color="auto"/>
        <w:bottom w:val="none" w:sz="0" w:space="0" w:color="auto"/>
        <w:right w:val="none" w:sz="0" w:space="0" w:color="auto"/>
      </w:divBdr>
    </w:div>
    <w:div w:id="920021256">
      <w:bodyDiv w:val="1"/>
      <w:marLeft w:val="0"/>
      <w:marRight w:val="0"/>
      <w:marTop w:val="0"/>
      <w:marBottom w:val="0"/>
      <w:divBdr>
        <w:top w:val="none" w:sz="0" w:space="0" w:color="auto"/>
        <w:left w:val="none" w:sz="0" w:space="0" w:color="auto"/>
        <w:bottom w:val="none" w:sz="0" w:space="0" w:color="auto"/>
        <w:right w:val="none" w:sz="0" w:space="0" w:color="auto"/>
      </w:divBdr>
    </w:div>
    <w:div w:id="1068458843">
      <w:bodyDiv w:val="1"/>
      <w:marLeft w:val="0"/>
      <w:marRight w:val="0"/>
      <w:marTop w:val="0"/>
      <w:marBottom w:val="0"/>
      <w:divBdr>
        <w:top w:val="none" w:sz="0" w:space="0" w:color="auto"/>
        <w:left w:val="none" w:sz="0" w:space="0" w:color="auto"/>
        <w:bottom w:val="none" w:sz="0" w:space="0" w:color="auto"/>
        <w:right w:val="none" w:sz="0" w:space="0" w:color="auto"/>
      </w:divBdr>
    </w:div>
    <w:div w:id="1202590136">
      <w:bodyDiv w:val="1"/>
      <w:marLeft w:val="0"/>
      <w:marRight w:val="0"/>
      <w:marTop w:val="0"/>
      <w:marBottom w:val="0"/>
      <w:divBdr>
        <w:top w:val="none" w:sz="0" w:space="0" w:color="auto"/>
        <w:left w:val="none" w:sz="0" w:space="0" w:color="auto"/>
        <w:bottom w:val="none" w:sz="0" w:space="0" w:color="auto"/>
        <w:right w:val="none" w:sz="0" w:space="0" w:color="auto"/>
      </w:divBdr>
    </w:div>
    <w:div w:id="1304582675">
      <w:bodyDiv w:val="1"/>
      <w:marLeft w:val="0"/>
      <w:marRight w:val="0"/>
      <w:marTop w:val="0"/>
      <w:marBottom w:val="0"/>
      <w:divBdr>
        <w:top w:val="none" w:sz="0" w:space="0" w:color="auto"/>
        <w:left w:val="none" w:sz="0" w:space="0" w:color="auto"/>
        <w:bottom w:val="none" w:sz="0" w:space="0" w:color="auto"/>
        <w:right w:val="none" w:sz="0" w:space="0" w:color="auto"/>
      </w:divBdr>
    </w:div>
    <w:div w:id="1475484305">
      <w:bodyDiv w:val="1"/>
      <w:marLeft w:val="0"/>
      <w:marRight w:val="0"/>
      <w:marTop w:val="0"/>
      <w:marBottom w:val="0"/>
      <w:divBdr>
        <w:top w:val="none" w:sz="0" w:space="0" w:color="auto"/>
        <w:left w:val="none" w:sz="0" w:space="0" w:color="auto"/>
        <w:bottom w:val="none" w:sz="0" w:space="0" w:color="auto"/>
        <w:right w:val="none" w:sz="0" w:space="0" w:color="auto"/>
      </w:divBdr>
    </w:div>
    <w:div w:id="1528980179">
      <w:bodyDiv w:val="1"/>
      <w:marLeft w:val="0"/>
      <w:marRight w:val="0"/>
      <w:marTop w:val="0"/>
      <w:marBottom w:val="0"/>
      <w:divBdr>
        <w:top w:val="none" w:sz="0" w:space="0" w:color="auto"/>
        <w:left w:val="none" w:sz="0" w:space="0" w:color="auto"/>
        <w:bottom w:val="none" w:sz="0" w:space="0" w:color="auto"/>
        <w:right w:val="none" w:sz="0" w:space="0" w:color="auto"/>
      </w:divBdr>
    </w:div>
    <w:div w:id="1550995508">
      <w:bodyDiv w:val="1"/>
      <w:marLeft w:val="0"/>
      <w:marRight w:val="0"/>
      <w:marTop w:val="0"/>
      <w:marBottom w:val="0"/>
      <w:divBdr>
        <w:top w:val="none" w:sz="0" w:space="0" w:color="auto"/>
        <w:left w:val="none" w:sz="0" w:space="0" w:color="auto"/>
        <w:bottom w:val="none" w:sz="0" w:space="0" w:color="auto"/>
        <w:right w:val="none" w:sz="0" w:space="0" w:color="auto"/>
      </w:divBdr>
    </w:div>
    <w:div w:id="1552839440">
      <w:bodyDiv w:val="1"/>
      <w:marLeft w:val="0"/>
      <w:marRight w:val="0"/>
      <w:marTop w:val="0"/>
      <w:marBottom w:val="0"/>
      <w:divBdr>
        <w:top w:val="none" w:sz="0" w:space="0" w:color="auto"/>
        <w:left w:val="none" w:sz="0" w:space="0" w:color="auto"/>
        <w:bottom w:val="none" w:sz="0" w:space="0" w:color="auto"/>
        <w:right w:val="none" w:sz="0" w:space="0" w:color="auto"/>
      </w:divBdr>
    </w:div>
    <w:div w:id="1680811128">
      <w:bodyDiv w:val="1"/>
      <w:marLeft w:val="0"/>
      <w:marRight w:val="0"/>
      <w:marTop w:val="0"/>
      <w:marBottom w:val="0"/>
      <w:divBdr>
        <w:top w:val="none" w:sz="0" w:space="0" w:color="auto"/>
        <w:left w:val="none" w:sz="0" w:space="0" w:color="auto"/>
        <w:bottom w:val="none" w:sz="0" w:space="0" w:color="auto"/>
        <w:right w:val="none" w:sz="0" w:space="0" w:color="auto"/>
      </w:divBdr>
    </w:div>
    <w:div w:id="1878738671">
      <w:bodyDiv w:val="1"/>
      <w:marLeft w:val="0"/>
      <w:marRight w:val="0"/>
      <w:marTop w:val="0"/>
      <w:marBottom w:val="0"/>
      <w:divBdr>
        <w:top w:val="none" w:sz="0" w:space="0" w:color="auto"/>
        <w:left w:val="none" w:sz="0" w:space="0" w:color="auto"/>
        <w:bottom w:val="none" w:sz="0" w:space="0" w:color="auto"/>
        <w:right w:val="none" w:sz="0" w:space="0" w:color="auto"/>
      </w:divBdr>
    </w:div>
    <w:div w:id="1889756616">
      <w:bodyDiv w:val="1"/>
      <w:marLeft w:val="0"/>
      <w:marRight w:val="0"/>
      <w:marTop w:val="0"/>
      <w:marBottom w:val="0"/>
      <w:divBdr>
        <w:top w:val="none" w:sz="0" w:space="0" w:color="auto"/>
        <w:left w:val="none" w:sz="0" w:space="0" w:color="auto"/>
        <w:bottom w:val="none" w:sz="0" w:space="0" w:color="auto"/>
        <w:right w:val="none" w:sz="0" w:space="0" w:color="auto"/>
      </w:divBdr>
    </w:div>
    <w:div w:id="1918323774">
      <w:bodyDiv w:val="1"/>
      <w:marLeft w:val="0"/>
      <w:marRight w:val="0"/>
      <w:marTop w:val="0"/>
      <w:marBottom w:val="0"/>
      <w:divBdr>
        <w:top w:val="none" w:sz="0" w:space="0" w:color="auto"/>
        <w:left w:val="none" w:sz="0" w:space="0" w:color="auto"/>
        <w:bottom w:val="none" w:sz="0" w:space="0" w:color="auto"/>
        <w:right w:val="none" w:sz="0" w:space="0" w:color="auto"/>
      </w:divBdr>
    </w:div>
    <w:div w:id="1993830107">
      <w:bodyDiv w:val="1"/>
      <w:marLeft w:val="0"/>
      <w:marRight w:val="0"/>
      <w:marTop w:val="0"/>
      <w:marBottom w:val="0"/>
      <w:divBdr>
        <w:top w:val="none" w:sz="0" w:space="0" w:color="auto"/>
        <w:left w:val="none" w:sz="0" w:space="0" w:color="auto"/>
        <w:bottom w:val="none" w:sz="0" w:space="0" w:color="auto"/>
        <w:right w:val="none" w:sz="0" w:space="0" w:color="auto"/>
      </w:divBdr>
    </w:div>
    <w:div w:id="20366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go.pl?id=COLWPD&amp;proxyId=&amp;u=https%3A%2F%2Fphilpapers.org%2Farchive%2FCOLWP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e_Philosophical_Review" TargetMode="External"/><Relationship Id="rId5" Type="http://schemas.openxmlformats.org/officeDocument/2006/relationships/webSettings" Target="webSettings.xml"/><Relationship Id="rId10" Type="http://schemas.openxmlformats.org/officeDocument/2006/relationships/hyperlink" Target="https://onlinelibrary.wiley.com/doi/10.1111/meta.12490" TargetMode="External"/><Relationship Id="rId4" Type="http://schemas.openxmlformats.org/officeDocument/2006/relationships/settings" Target="settings.xml"/><Relationship Id="rId9" Type="http://schemas.openxmlformats.org/officeDocument/2006/relationships/hyperlink" Target="https://www.annalisacoliva.com/wp-content/uploads/2021/07/Hinge_Disagreement.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5A6F-E6B9-4A9A-BE6F-27D5922D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6377</Words>
  <Characters>34121</Characters>
  <Application>Microsoft Office Word</Application>
  <DocSecurity>0</DocSecurity>
  <Lines>487</Lines>
  <Paragraphs>129</Paragraphs>
  <ScaleCrop>false</ScaleCrop>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Coliva</dc:creator>
  <cp:keywords/>
  <dc:description/>
  <cp:lastModifiedBy>Annalisa Coliva</cp:lastModifiedBy>
  <cp:revision>31</cp:revision>
  <dcterms:created xsi:type="dcterms:W3CDTF">2025-03-10T22:20:00Z</dcterms:created>
  <dcterms:modified xsi:type="dcterms:W3CDTF">2025-11-01T16:24:00Z</dcterms:modified>
</cp:coreProperties>
</file>