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96A94" w14:textId="77777777" w:rsidR="00F64509" w:rsidRDefault="004C7C7D" w:rsidP="00F64509">
      <w:pPr>
        <w:spacing w:line="480" w:lineRule="auto"/>
        <w:jc w:val="center"/>
        <w:rPr>
          <w:rFonts w:asciiTheme="majorBidi" w:hAnsiTheme="majorBidi" w:cstheme="majorBidi"/>
          <w:b/>
          <w:bCs/>
          <w:color w:val="000000"/>
          <w:sz w:val="24"/>
          <w:szCs w:val="24"/>
          <w:shd w:val="clear" w:color="auto" w:fill="FFFFFF"/>
        </w:rPr>
      </w:pPr>
      <w:r w:rsidRPr="00F64509">
        <w:rPr>
          <w:rFonts w:asciiTheme="majorBidi" w:hAnsiTheme="majorBidi" w:cstheme="majorBidi"/>
          <w:b/>
          <w:bCs/>
          <w:color w:val="000000"/>
          <w:sz w:val="24"/>
          <w:szCs w:val="24"/>
          <w:shd w:val="clear" w:color="auto" w:fill="FFFFFF"/>
        </w:rPr>
        <w:t>Moyal-Sharrock</w:t>
      </w:r>
      <w:r w:rsidR="00B53A7E" w:rsidRPr="00F64509">
        <w:rPr>
          <w:rFonts w:asciiTheme="majorBidi" w:hAnsiTheme="majorBidi" w:cstheme="majorBidi"/>
          <w:b/>
          <w:bCs/>
          <w:color w:val="000000"/>
          <w:sz w:val="24"/>
          <w:szCs w:val="24"/>
          <w:shd w:val="clear" w:color="auto" w:fill="FFFFFF"/>
        </w:rPr>
        <w:t>’</w:t>
      </w:r>
      <w:r w:rsidRPr="00F64509">
        <w:rPr>
          <w:rFonts w:asciiTheme="majorBidi" w:hAnsiTheme="majorBidi" w:cstheme="majorBidi"/>
          <w:b/>
          <w:bCs/>
          <w:color w:val="000000"/>
          <w:sz w:val="24"/>
          <w:szCs w:val="24"/>
          <w:shd w:val="clear" w:color="auto" w:fill="FFFFFF"/>
        </w:rPr>
        <w:t>s, Pritchard</w:t>
      </w:r>
      <w:r w:rsidR="00B53A7E" w:rsidRPr="00F64509">
        <w:rPr>
          <w:rFonts w:asciiTheme="majorBidi" w:hAnsiTheme="majorBidi" w:cstheme="majorBidi"/>
          <w:b/>
          <w:bCs/>
          <w:color w:val="000000"/>
          <w:sz w:val="24"/>
          <w:szCs w:val="24"/>
          <w:shd w:val="clear" w:color="auto" w:fill="FFFFFF"/>
        </w:rPr>
        <w:t>’</w:t>
      </w:r>
      <w:r w:rsidRPr="00F64509">
        <w:rPr>
          <w:rFonts w:asciiTheme="majorBidi" w:hAnsiTheme="majorBidi" w:cstheme="majorBidi"/>
          <w:b/>
          <w:bCs/>
          <w:color w:val="000000"/>
          <w:sz w:val="24"/>
          <w:szCs w:val="24"/>
          <w:shd w:val="clear" w:color="auto" w:fill="FFFFFF"/>
        </w:rPr>
        <w:t>s</w:t>
      </w:r>
      <w:r w:rsidR="00F64509">
        <w:rPr>
          <w:rFonts w:asciiTheme="majorBidi" w:hAnsiTheme="majorBidi" w:cstheme="majorBidi"/>
          <w:b/>
          <w:bCs/>
          <w:color w:val="000000"/>
          <w:sz w:val="24"/>
          <w:szCs w:val="24"/>
          <w:shd w:val="clear" w:color="auto" w:fill="FFFFFF"/>
        </w:rPr>
        <w:t>,</w:t>
      </w:r>
      <w:r w:rsidRPr="00F64509">
        <w:rPr>
          <w:rFonts w:asciiTheme="majorBidi" w:hAnsiTheme="majorBidi" w:cstheme="majorBidi"/>
          <w:b/>
          <w:bCs/>
          <w:color w:val="000000"/>
          <w:sz w:val="24"/>
          <w:szCs w:val="24"/>
          <w:shd w:val="clear" w:color="auto" w:fill="FFFFFF"/>
        </w:rPr>
        <w:t xml:space="preserve"> and Coliva</w:t>
      </w:r>
      <w:r w:rsidR="00B53A7E" w:rsidRPr="00F64509">
        <w:rPr>
          <w:rFonts w:asciiTheme="majorBidi" w:hAnsiTheme="majorBidi" w:cstheme="majorBidi"/>
          <w:b/>
          <w:bCs/>
          <w:color w:val="000000"/>
          <w:sz w:val="24"/>
          <w:szCs w:val="24"/>
          <w:shd w:val="clear" w:color="auto" w:fill="FFFFFF"/>
        </w:rPr>
        <w:t>’</w:t>
      </w:r>
      <w:r w:rsidRPr="00F64509">
        <w:rPr>
          <w:rFonts w:asciiTheme="majorBidi" w:hAnsiTheme="majorBidi" w:cstheme="majorBidi"/>
          <w:b/>
          <w:bCs/>
          <w:color w:val="000000"/>
          <w:sz w:val="24"/>
          <w:szCs w:val="24"/>
          <w:shd w:val="clear" w:color="auto" w:fill="FFFFFF"/>
        </w:rPr>
        <w:t>s Wittgenstein:</w:t>
      </w:r>
    </w:p>
    <w:p w14:paraId="2DA27131" w14:textId="4A5DFB2B" w:rsidR="00462EA6" w:rsidRPr="00F64509" w:rsidRDefault="004C7C7D" w:rsidP="00F64509">
      <w:pPr>
        <w:spacing w:line="480" w:lineRule="auto"/>
        <w:jc w:val="center"/>
        <w:rPr>
          <w:rFonts w:asciiTheme="majorBidi" w:hAnsiTheme="majorBidi" w:cstheme="majorBidi"/>
          <w:b/>
          <w:bCs/>
          <w:color w:val="000000"/>
          <w:sz w:val="24"/>
          <w:szCs w:val="24"/>
          <w:shd w:val="clear" w:color="auto" w:fill="FFFFFF"/>
        </w:rPr>
      </w:pPr>
      <w:r w:rsidRPr="00F64509">
        <w:rPr>
          <w:rFonts w:asciiTheme="majorBidi" w:hAnsiTheme="majorBidi" w:cstheme="majorBidi"/>
          <w:b/>
          <w:bCs/>
          <w:color w:val="000000"/>
          <w:sz w:val="24"/>
          <w:szCs w:val="24"/>
          <w:shd w:val="clear" w:color="auto" w:fill="FFFFFF"/>
        </w:rPr>
        <w:t>The Hinge Epistemology Program</w:t>
      </w:r>
    </w:p>
    <w:p w14:paraId="4ABAAC21" w14:textId="77777777" w:rsidR="00F64509" w:rsidRPr="00F64509" w:rsidRDefault="004C7C7D" w:rsidP="00F64509">
      <w:pPr>
        <w:spacing w:after="0" w:line="240" w:lineRule="auto"/>
        <w:jc w:val="center"/>
        <w:rPr>
          <w:rFonts w:asciiTheme="majorBidi" w:hAnsiTheme="majorBidi" w:cstheme="majorBidi"/>
          <w:i/>
          <w:iCs/>
          <w:color w:val="000000"/>
          <w:sz w:val="24"/>
          <w:szCs w:val="24"/>
          <w:shd w:val="clear" w:color="auto" w:fill="FFFFFF"/>
        </w:rPr>
      </w:pPr>
      <w:r w:rsidRPr="00F64509">
        <w:rPr>
          <w:rFonts w:asciiTheme="majorBidi" w:hAnsiTheme="majorBidi" w:cstheme="majorBidi"/>
          <w:i/>
          <w:iCs/>
          <w:color w:val="000000"/>
          <w:sz w:val="24"/>
          <w:szCs w:val="24"/>
          <w:shd w:val="clear" w:color="auto" w:fill="FFFFFF"/>
        </w:rPr>
        <w:t>Annalisa Coliva</w:t>
      </w:r>
    </w:p>
    <w:p w14:paraId="6843AB50" w14:textId="1FC6A5C7" w:rsidR="00F64509" w:rsidRDefault="00F64509" w:rsidP="00F64509">
      <w:pPr>
        <w:spacing w:line="480" w:lineRule="auto"/>
        <w:jc w:val="center"/>
        <w:rPr>
          <w:rFonts w:asciiTheme="majorBidi" w:hAnsiTheme="majorBidi" w:cstheme="majorBidi"/>
          <w:color w:val="000000"/>
          <w:sz w:val="24"/>
          <w:szCs w:val="24"/>
          <w:shd w:val="clear" w:color="auto" w:fill="FFFFFF"/>
        </w:rPr>
      </w:pPr>
      <w:r w:rsidRPr="00F64509">
        <w:rPr>
          <w:rFonts w:asciiTheme="majorBidi" w:hAnsiTheme="majorBidi" w:cstheme="majorBidi"/>
          <w:color w:val="000000"/>
          <w:sz w:val="24"/>
          <w:szCs w:val="24"/>
          <w:shd w:val="clear" w:color="auto" w:fill="FFFFFF"/>
        </w:rPr>
        <w:t>University of California, Irvine</w:t>
      </w:r>
    </w:p>
    <w:p w14:paraId="6A4DCE9D" w14:textId="7461ED04" w:rsidR="00F64509" w:rsidRPr="00F64509" w:rsidRDefault="00F64509" w:rsidP="00F64509">
      <w:pPr>
        <w:spacing w:after="0" w:line="240" w:lineRule="auto"/>
        <w:jc w:val="center"/>
        <w:rPr>
          <w:rFonts w:asciiTheme="majorBidi" w:hAnsiTheme="majorBidi" w:cstheme="majorBidi"/>
          <w:i/>
          <w:iCs/>
          <w:color w:val="000000"/>
          <w:sz w:val="24"/>
          <w:szCs w:val="24"/>
          <w:shd w:val="clear" w:color="auto" w:fill="FFFFFF"/>
        </w:rPr>
      </w:pPr>
      <w:r w:rsidRPr="00F64509">
        <w:rPr>
          <w:rFonts w:asciiTheme="majorBidi" w:hAnsiTheme="majorBidi" w:cstheme="majorBidi"/>
          <w:bCs/>
          <w:i/>
          <w:iCs/>
          <w:color w:val="000000"/>
          <w:sz w:val="24"/>
          <w:szCs w:val="24"/>
          <w:shd w:val="clear" w:color="auto" w:fill="FFFFFF"/>
        </w:rPr>
        <w:t xml:space="preserve">Danièle </w:t>
      </w:r>
      <w:r w:rsidR="004C7C7D" w:rsidRPr="00F64509">
        <w:rPr>
          <w:rFonts w:asciiTheme="majorBidi" w:hAnsiTheme="majorBidi" w:cstheme="majorBidi"/>
          <w:i/>
          <w:iCs/>
          <w:color w:val="000000"/>
          <w:sz w:val="24"/>
          <w:szCs w:val="24"/>
          <w:shd w:val="clear" w:color="auto" w:fill="FFFFFF"/>
        </w:rPr>
        <w:t>Moyal-Sharrock</w:t>
      </w:r>
    </w:p>
    <w:p w14:paraId="5C1D945D" w14:textId="77777777" w:rsidR="00F64509" w:rsidRDefault="00F64509" w:rsidP="00F64509">
      <w:pPr>
        <w:spacing w:line="480" w:lineRule="auto"/>
        <w:jc w:val="center"/>
        <w:rPr>
          <w:rFonts w:asciiTheme="majorBidi" w:hAnsiTheme="majorBidi" w:cstheme="majorBidi"/>
          <w:color w:val="000000"/>
          <w:sz w:val="24"/>
          <w:szCs w:val="24"/>
          <w:shd w:val="clear" w:color="auto" w:fill="FFFFFF"/>
        </w:rPr>
      </w:pPr>
      <w:r w:rsidRPr="00F64509">
        <w:rPr>
          <w:rFonts w:asciiTheme="majorBidi" w:hAnsiTheme="majorBidi" w:cstheme="majorBidi"/>
          <w:color w:val="000000"/>
          <w:sz w:val="24"/>
          <w:szCs w:val="24"/>
          <w:shd w:val="clear" w:color="auto" w:fill="FFFFFF"/>
        </w:rPr>
        <w:t>University of Hertfordshire</w:t>
      </w:r>
    </w:p>
    <w:p w14:paraId="270E1611" w14:textId="62B3546F" w:rsidR="004C7C7D" w:rsidRPr="00F64509" w:rsidRDefault="004C7C7D" w:rsidP="00F64509">
      <w:pPr>
        <w:spacing w:after="0" w:line="240" w:lineRule="auto"/>
        <w:jc w:val="center"/>
        <w:rPr>
          <w:rFonts w:asciiTheme="majorBidi" w:hAnsiTheme="majorBidi" w:cstheme="majorBidi"/>
          <w:i/>
          <w:iCs/>
          <w:color w:val="000000"/>
          <w:sz w:val="24"/>
          <w:szCs w:val="24"/>
          <w:shd w:val="clear" w:color="auto" w:fill="FFFFFF"/>
        </w:rPr>
      </w:pPr>
      <w:r w:rsidRPr="00F64509">
        <w:rPr>
          <w:rFonts w:asciiTheme="majorBidi" w:hAnsiTheme="majorBidi" w:cstheme="majorBidi"/>
          <w:i/>
          <w:iCs/>
          <w:color w:val="000000"/>
          <w:sz w:val="24"/>
          <w:szCs w:val="24"/>
          <w:shd w:val="clear" w:color="auto" w:fill="FFFFFF"/>
        </w:rPr>
        <w:t>Duncan Pritchard</w:t>
      </w:r>
    </w:p>
    <w:p w14:paraId="4B7AE219" w14:textId="1B1E95DB" w:rsidR="00F64509" w:rsidRPr="00F64509" w:rsidRDefault="00F64509" w:rsidP="00F64509">
      <w:pPr>
        <w:spacing w:line="480" w:lineRule="auto"/>
        <w:jc w:val="center"/>
        <w:rPr>
          <w:rFonts w:asciiTheme="majorBidi" w:hAnsiTheme="majorBidi" w:cstheme="majorBidi"/>
          <w:sz w:val="24"/>
          <w:szCs w:val="24"/>
        </w:rPr>
      </w:pPr>
      <w:r w:rsidRPr="00F64509">
        <w:rPr>
          <w:rFonts w:asciiTheme="majorBidi" w:hAnsiTheme="majorBidi" w:cstheme="majorBidi"/>
          <w:sz w:val="24"/>
          <w:szCs w:val="24"/>
        </w:rPr>
        <w:t>University of California, Irvine</w:t>
      </w:r>
    </w:p>
    <w:p w14:paraId="7443F04C" w14:textId="1F676369" w:rsidR="004C7C7D" w:rsidRPr="00F64509" w:rsidRDefault="004C7C7D" w:rsidP="00F64509">
      <w:pPr>
        <w:spacing w:line="480" w:lineRule="auto"/>
        <w:jc w:val="both"/>
        <w:rPr>
          <w:rFonts w:asciiTheme="majorBidi" w:hAnsiTheme="majorBidi" w:cstheme="majorBidi"/>
          <w:sz w:val="24"/>
          <w:szCs w:val="24"/>
        </w:rPr>
      </w:pPr>
    </w:p>
    <w:p w14:paraId="5C5D6CEA" w14:textId="77777777" w:rsidR="004C7C7D" w:rsidRPr="00F64509" w:rsidRDefault="004C7C7D" w:rsidP="00F64509">
      <w:pPr>
        <w:spacing w:line="480" w:lineRule="auto"/>
        <w:jc w:val="both"/>
        <w:rPr>
          <w:rFonts w:asciiTheme="majorBidi" w:hAnsiTheme="majorBidi" w:cstheme="majorBidi"/>
          <w:sz w:val="24"/>
          <w:szCs w:val="24"/>
        </w:rPr>
      </w:pPr>
    </w:p>
    <w:p w14:paraId="0C81F583" w14:textId="15E698A7" w:rsidR="00EF6325" w:rsidRPr="00F64509" w:rsidRDefault="009C431D" w:rsidP="00F64509">
      <w:pPr>
        <w:pStyle w:val="ListParagraph"/>
        <w:numPr>
          <w:ilvl w:val="0"/>
          <w:numId w:val="2"/>
        </w:numPr>
        <w:spacing w:line="480" w:lineRule="auto"/>
        <w:contextualSpacing w:val="0"/>
        <w:jc w:val="both"/>
        <w:rPr>
          <w:rFonts w:asciiTheme="majorBidi" w:eastAsia="Times New Roman" w:hAnsiTheme="majorBidi" w:cstheme="majorBidi"/>
          <w:b/>
          <w:color w:val="000000"/>
          <w:sz w:val="24"/>
          <w:szCs w:val="24"/>
          <w:lang w:eastAsia="it-IT"/>
        </w:rPr>
      </w:pPr>
      <w:r w:rsidRPr="00F64509">
        <w:rPr>
          <w:rFonts w:asciiTheme="majorBidi" w:eastAsia="Times New Roman" w:hAnsiTheme="majorBidi" w:cstheme="majorBidi"/>
          <w:b/>
          <w:color w:val="000000"/>
          <w:sz w:val="24"/>
          <w:szCs w:val="24"/>
          <w:lang w:eastAsia="it-IT"/>
        </w:rPr>
        <w:t>Introduction</w:t>
      </w:r>
    </w:p>
    <w:p w14:paraId="594D7004" w14:textId="706B4360" w:rsidR="009C431D" w:rsidRPr="00F64509" w:rsidRDefault="009C431D" w:rsidP="00F64509">
      <w:pPr>
        <w:spacing w:line="480" w:lineRule="auto"/>
        <w:jc w:val="both"/>
        <w:rPr>
          <w:rFonts w:asciiTheme="majorBidi" w:hAnsiTheme="majorBidi" w:cstheme="majorBidi"/>
          <w:sz w:val="24"/>
          <w:szCs w:val="24"/>
        </w:rPr>
      </w:pPr>
      <w:bookmarkStart w:id="0" w:name="_Hlk209573038"/>
      <w:r w:rsidRPr="00F64509">
        <w:rPr>
          <w:rFonts w:asciiTheme="majorBidi" w:hAnsiTheme="majorBidi" w:cstheme="majorBidi"/>
          <w:sz w:val="24"/>
          <w:szCs w:val="24"/>
        </w:rPr>
        <w:t>Hinge epistemology</w:t>
      </w:r>
      <w:bookmarkEnd w:id="0"/>
      <w:r w:rsidR="00932719" w:rsidRPr="00F64509">
        <w:rPr>
          <w:rStyle w:val="FootnoteReference"/>
          <w:rFonts w:asciiTheme="majorBidi" w:hAnsiTheme="majorBidi" w:cstheme="majorBidi"/>
          <w:sz w:val="24"/>
          <w:szCs w:val="24"/>
        </w:rPr>
        <w:footnoteReference w:id="1"/>
      </w:r>
      <w:r w:rsidRPr="00F64509">
        <w:rPr>
          <w:rFonts w:asciiTheme="majorBidi" w:hAnsiTheme="majorBidi" w:cstheme="majorBidi"/>
          <w:sz w:val="24"/>
          <w:szCs w:val="24"/>
        </w:rPr>
        <w:t xml:space="preserve"> is a rapidly growing trend in present-day epistemology. It builds on Wittgenstein</w:t>
      </w:r>
      <w:r w:rsidR="00B53A7E" w:rsidRPr="00F64509">
        <w:rPr>
          <w:rFonts w:asciiTheme="majorBidi" w:hAnsiTheme="majorBidi" w:cstheme="majorBidi"/>
          <w:sz w:val="24"/>
          <w:szCs w:val="24"/>
        </w:rPr>
        <w:t>’</w:t>
      </w:r>
      <w:r w:rsidRPr="00F64509">
        <w:rPr>
          <w:rFonts w:asciiTheme="majorBidi" w:hAnsiTheme="majorBidi" w:cstheme="majorBidi"/>
          <w:sz w:val="24"/>
          <w:szCs w:val="24"/>
        </w:rPr>
        <w:t xml:space="preserve">s insight in </w:t>
      </w:r>
      <w:r w:rsidRPr="00F64509">
        <w:rPr>
          <w:rFonts w:asciiTheme="majorBidi" w:hAnsiTheme="majorBidi" w:cstheme="majorBidi"/>
          <w:i/>
          <w:sz w:val="24"/>
          <w:szCs w:val="24"/>
        </w:rPr>
        <w:t>On Certainty</w:t>
      </w:r>
      <w:r w:rsidRPr="00F64509">
        <w:rPr>
          <w:rFonts w:asciiTheme="majorBidi" w:hAnsiTheme="majorBidi" w:cstheme="majorBidi"/>
          <w:sz w:val="24"/>
          <w:szCs w:val="24"/>
        </w:rPr>
        <w:t xml:space="preserve"> (1969 OC, hereafter) that justification and knowledge always depend on a system of </w:t>
      </w:r>
      <w:r w:rsidR="00490A07" w:rsidRPr="00F64509">
        <w:rPr>
          <w:rFonts w:asciiTheme="majorBidi" w:hAnsiTheme="majorBidi" w:cstheme="majorBidi"/>
          <w:sz w:val="24"/>
          <w:szCs w:val="24"/>
        </w:rPr>
        <w:t>prior certainties</w:t>
      </w:r>
      <w:r w:rsidRPr="00F64509">
        <w:rPr>
          <w:rFonts w:asciiTheme="majorBidi" w:hAnsiTheme="majorBidi" w:cstheme="majorBidi"/>
          <w:sz w:val="24"/>
          <w:szCs w:val="24"/>
        </w:rPr>
        <w:t>, or “hinges”. Writes Wittgenstein in OC (341-343):</w:t>
      </w:r>
    </w:p>
    <w:p w14:paraId="0ACF1DAD" w14:textId="77777777" w:rsidR="009C431D" w:rsidRPr="00F64509" w:rsidRDefault="009C431D" w:rsidP="00F64509">
      <w:pPr>
        <w:pStyle w:val="ListParagraph"/>
        <w:spacing w:line="480" w:lineRule="auto"/>
        <w:contextualSpacing w:val="0"/>
        <w:jc w:val="both"/>
        <w:rPr>
          <w:rFonts w:asciiTheme="majorBidi" w:hAnsiTheme="majorBidi" w:cstheme="majorBidi"/>
          <w:sz w:val="24"/>
          <w:szCs w:val="24"/>
        </w:rPr>
      </w:pPr>
      <w:r w:rsidRPr="00F64509">
        <w:rPr>
          <w:rFonts w:asciiTheme="majorBidi" w:hAnsiTheme="majorBidi" w:cstheme="majorBidi"/>
          <w:sz w:val="24"/>
          <w:szCs w:val="24"/>
        </w:rPr>
        <w:t xml:space="preserve">The questions that we raise and our doubts depend on the fact that some propositions are exempt from doubt, are as it were like hinges on which those turn. </w:t>
      </w:r>
    </w:p>
    <w:p w14:paraId="46B22F9E" w14:textId="77777777" w:rsidR="009C431D" w:rsidRPr="00F64509" w:rsidRDefault="009C431D" w:rsidP="00F64509">
      <w:pPr>
        <w:pStyle w:val="ListParagraph"/>
        <w:spacing w:line="480" w:lineRule="auto"/>
        <w:contextualSpacing w:val="0"/>
        <w:jc w:val="both"/>
        <w:rPr>
          <w:rFonts w:asciiTheme="majorBidi" w:hAnsiTheme="majorBidi" w:cstheme="majorBidi"/>
          <w:sz w:val="24"/>
          <w:szCs w:val="24"/>
        </w:rPr>
      </w:pPr>
      <w:r w:rsidRPr="00F64509">
        <w:rPr>
          <w:rFonts w:asciiTheme="majorBidi" w:hAnsiTheme="majorBidi" w:cstheme="majorBidi"/>
          <w:sz w:val="24"/>
          <w:szCs w:val="24"/>
        </w:rPr>
        <w:t xml:space="preserve">That is to say, it belongs to the logic of our scientific investigations that certain things are in deed not doubted. </w:t>
      </w:r>
    </w:p>
    <w:p w14:paraId="3CD99BF6" w14:textId="187EA1D9" w:rsidR="009C431D" w:rsidRPr="00F64509" w:rsidRDefault="009C431D" w:rsidP="00F64509">
      <w:pPr>
        <w:pStyle w:val="ListParagraph"/>
        <w:spacing w:line="480" w:lineRule="auto"/>
        <w:contextualSpacing w:val="0"/>
        <w:jc w:val="both"/>
        <w:rPr>
          <w:rFonts w:asciiTheme="majorBidi" w:hAnsiTheme="majorBidi" w:cstheme="majorBidi"/>
          <w:sz w:val="24"/>
          <w:szCs w:val="24"/>
        </w:rPr>
      </w:pPr>
      <w:r w:rsidRPr="00F64509">
        <w:rPr>
          <w:rFonts w:asciiTheme="majorBidi" w:hAnsiTheme="majorBidi" w:cstheme="majorBidi"/>
          <w:sz w:val="24"/>
          <w:szCs w:val="24"/>
        </w:rPr>
        <w:lastRenderedPageBreak/>
        <w:t>But it isn</w:t>
      </w:r>
      <w:r w:rsidR="00B53A7E" w:rsidRPr="00F64509">
        <w:rPr>
          <w:rFonts w:asciiTheme="majorBidi" w:hAnsiTheme="majorBidi" w:cstheme="majorBidi"/>
          <w:sz w:val="24"/>
          <w:szCs w:val="24"/>
        </w:rPr>
        <w:t>’</w:t>
      </w:r>
      <w:r w:rsidRPr="00F64509">
        <w:rPr>
          <w:rFonts w:asciiTheme="majorBidi" w:hAnsiTheme="majorBidi" w:cstheme="majorBidi"/>
          <w:sz w:val="24"/>
          <w:szCs w:val="24"/>
        </w:rPr>
        <w:t>t that the situation is like this: We just can</w:t>
      </w:r>
      <w:r w:rsidR="00B53A7E" w:rsidRPr="00F64509">
        <w:rPr>
          <w:rFonts w:asciiTheme="majorBidi" w:hAnsiTheme="majorBidi" w:cstheme="majorBidi"/>
          <w:sz w:val="24"/>
          <w:szCs w:val="24"/>
        </w:rPr>
        <w:t>’</w:t>
      </w:r>
      <w:r w:rsidRPr="00F64509">
        <w:rPr>
          <w:rFonts w:asciiTheme="majorBidi" w:hAnsiTheme="majorBidi" w:cstheme="majorBidi"/>
          <w:sz w:val="24"/>
          <w:szCs w:val="24"/>
        </w:rPr>
        <w:t>t investigate everything, and for that reason we are forced to rest content with assumption. If I want the door to turn, the hinges must stay put.</w:t>
      </w:r>
    </w:p>
    <w:p w14:paraId="55CCDEED" w14:textId="0C45E75D" w:rsidR="00FD2072" w:rsidRPr="00F64509" w:rsidRDefault="009C431D" w:rsidP="00F64509">
      <w:pPr>
        <w:spacing w:line="480" w:lineRule="auto"/>
        <w:jc w:val="both"/>
        <w:rPr>
          <w:rFonts w:asciiTheme="majorBidi" w:hAnsiTheme="majorBidi" w:cstheme="majorBidi"/>
          <w:sz w:val="24"/>
          <w:szCs w:val="24"/>
        </w:rPr>
      </w:pPr>
      <w:r w:rsidRPr="00F64509">
        <w:rPr>
          <w:rFonts w:asciiTheme="majorBidi" w:hAnsiTheme="majorBidi" w:cstheme="majorBidi"/>
          <w:sz w:val="24"/>
          <w:szCs w:val="24"/>
        </w:rPr>
        <w:t>Often connected to Wittgenstein exegesis (</w:t>
      </w:r>
      <w:r w:rsidR="00490A07" w:rsidRPr="00F64509">
        <w:rPr>
          <w:rFonts w:asciiTheme="majorBidi" w:hAnsiTheme="majorBidi" w:cstheme="majorBidi"/>
          <w:sz w:val="24"/>
          <w:szCs w:val="24"/>
        </w:rPr>
        <w:t xml:space="preserve">Strawson 1985, </w:t>
      </w:r>
      <w:r w:rsidRPr="00F64509">
        <w:rPr>
          <w:rFonts w:asciiTheme="majorBidi" w:hAnsiTheme="majorBidi" w:cstheme="majorBidi"/>
          <w:sz w:val="24"/>
          <w:szCs w:val="24"/>
        </w:rPr>
        <w:t xml:space="preserve">Wright 1985, </w:t>
      </w:r>
      <w:r w:rsidR="00490A07" w:rsidRPr="00F64509">
        <w:rPr>
          <w:rFonts w:asciiTheme="majorBidi" w:hAnsiTheme="majorBidi" w:cstheme="majorBidi"/>
          <w:sz w:val="24"/>
          <w:szCs w:val="24"/>
        </w:rPr>
        <w:t xml:space="preserve">McGinn 1989, </w:t>
      </w:r>
      <w:r w:rsidRPr="00F64509">
        <w:rPr>
          <w:rFonts w:asciiTheme="majorBidi" w:hAnsiTheme="majorBidi" w:cstheme="majorBidi"/>
          <w:sz w:val="24"/>
          <w:szCs w:val="24"/>
        </w:rPr>
        <w:t>Moyal-Sharrock 2005, Coliva 2010</w:t>
      </w:r>
      <w:r w:rsidR="00490A07" w:rsidRPr="00F64509">
        <w:rPr>
          <w:rFonts w:asciiTheme="majorBidi" w:hAnsiTheme="majorBidi" w:cstheme="majorBidi"/>
          <w:sz w:val="24"/>
          <w:szCs w:val="24"/>
        </w:rPr>
        <w:t>, Pritchard 2015</w:t>
      </w:r>
      <w:r w:rsidR="00A72B12" w:rsidRPr="00F64509">
        <w:rPr>
          <w:rFonts w:asciiTheme="majorBidi" w:hAnsiTheme="majorBidi" w:cstheme="majorBidi"/>
          <w:sz w:val="24"/>
          <w:szCs w:val="24"/>
        </w:rPr>
        <w:t>a</w:t>
      </w:r>
      <w:r w:rsidRPr="00F64509">
        <w:rPr>
          <w:rFonts w:asciiTheme="majorBidi" w:hAnsiTheme="majorBidi" w:cstheme="majorBidi"/>
          <w:sz w:val="24"/>
          <w:szCs w:val="24"/>
        </w:rPr>
        <w:t>), hinge epistemology has been subject to various developments over the years. The focus has been primarily on the nature and epistemic status of hinges (Wright 1985, 2004, 2014; Williams 1991, 2004a, b, 2005; Moyal-Sharrock 2005, 2021; Coliva 2010, 2015, 2022; Pritchard 2015</w:t>
      </w:r>
      <w:r w:rsidR="00A72B12" w:rsidRPr="00F64509">
        <w:rPr>
          <w:rFonts w:asciiTheme="majorBidi" w:hAnsiTheme="majorBidi" w:cstheme="majorBidi"/>
          <w:sz w:val="24"/>
          <w:szCs w:val="24"/>
        </w:rPr>
        <w:t>a</w:t>
      </w:r>
      <w:r w:rsidRPr="00F64509">
        <w:rPr>
          <w:rFonts w:asciiTheme="majorBidi" w:hAnsiTheme="majorBidi" w:cstheme="majorBidi"/>
          <w:sz w:val="24"/>
          <w:szCs w:val="24"/>
        </w:rPr>
        <w:t xml:space="preserve">; Coliva &amp; Pritchard 2022); the bearing of hinge epistemology on the issue of perceptual justification and knowledge (Wright 1985, 2004; </w:t>
      </w:r>
      <w:r w:rsidR="00635B85" w:rsidRPr="00F64509">
        <w:rPr>
          <w:rFonts w:asciiTheme="majorBidi" w:hAnsiTheme="majorBidi" w:cstheme="majorBidi"/>
          <w:sz w:val="24"/>
          <w:szCs w:val="24"/>
        </w:rPr>
        <w:t xml:space="preserve">Pritchard 2012; </w:t>
      </w:r>
      <w:r w:rsidRPr="00F64509">
        <w:rPr>
          <w:rFonts w:asciiTheme="majorBidi" w:hAnsiTheme="majorBidi" w:cstheme="majorBidi"/>
          <w:sz w:val="24"/>
          <w:szCs w:val="24"/>
        </w:rPr>
        <w:t xml:space="preserve">Coliva 2015; Schönbaumsfeld 2016; Coliva, Gupta &amp; Wright </w:t>
      </w:r>
      <w:r w:rsidR="00EA4B48" w:rsidRPr="00F64509">
        <w:rPr>
          <w:rFonts w:asciiTheme="majorBidi" w:hAnsiTheme="majorBidi" w:cstheme="majorBidi"/>
          <w:sz w:val="24"/>
          <w:szCs w:val="24"/>
        </w:rPr>
        <w:t>202</w:t>
      </w:r>
      <w:r w:rsidR="00C269CA">
        <w:rPr>
          <w:rFonts w:asciiTheme="majorBidi" w:hAnsiTheme="majorBidi" w:cstheme="majorBidi"/>
          <w:sz w:val="24"/>
          <w:szCs w:val="24"/>
        </w:rPr>
        <w:t>4</w:t>
      </w:r>
      <w:r w:rsidRPr="00F64509">
        <w:rPr>
          <w:rFonts w:asciiTheme="majorBidi" w:hAnsiTheme="majorBidi" w:cstheme="majorBidi"/>
          <w:sz w:val="24"/>
          <w:szCs w:val="24"/>
        </w:rPr>
        <w:t>); its anti-skeptical import (</w:t>
      </w:r>
      <w:r w:rsidR="00490A07" w:rsidRPr="00F64509">
        <w:rPr>
          <w:rFonts w:asciiTheme="majorBidi" w:hAnsiTheme="majorBidi" w:cstheme="majorBidi"/>
          <w:sz w:val="24"/>
          <w:szCs w:val="24"/>
        </w:rPr>
        <w:t xml:space="preserve">Strawson 1985, </w:t>
      </w:r>
      <w:r w:rsidRPr="00F64509">
        <w:rPr>
          <w:rFonts w:asciiTheme="majorBidi" w:hAnsiTheme="majorBidi" w:cstheme="majorBidi"/>
          <w:sz w:val="24"/>
          <w:szCs w:val="24"/>
        </w:rPr>
        <w:t xml:space="preserve">Wright 1985, 2004, 2014; Williams 1991; </w:t>
      </w:r>
      <w:r w:rsidR="00296E4D" w:rsidRPr="00F64509">
        <w:rPr>
          <w:rFonts w:asciiTheme="majorBidi" w:hAnsiTheme="majorBidi" w:cstheme="majorBidi"/>
          <w:sz w:val="24"/>
          <w:szCs w:val="24"/>
        </w:rPr>
        <w:t xml:space="preserve">Moyal-Sharrock 2002, 2003, 2005, </w:t>
      </w:r>
      <w:r w:rsidRPr="00F64509">
        <w:rPr>
          <w:rFonts w:asciiTheme="majorBidi" w:hAnsiTheme="majorBidi" w:cstheme="majorBidi"/>
          <w:sz w:val="24"/>
          <w:szCs w:val="24"/>
        </w:rPr>
        <w:t>Coliva 2015, 2022; Pritchard 2015</w:t>
      </w:r>
      <w:r w:rsidR="00A72B12" w:rsidRPr="00F64509">
        <w:rPr>
          <w:rFonts w:asciiTheme="majorBidi" w:hAnsiTheme="majorBidi" w:cstheme="majorBidi"/>
          <w:sz w:val="24"/>
          <w:szCs w:val="24"/>
        </w:rPr>
        <w:t>a</w:t>
      </w:r>
      <w:r w:rsidRPr="00F64509">
        <w:rPr>
          <w:rFonts w:asciiTheme="majorBidi" w:hAnsiTheme="majorBidi" w:cstheme="majorBidi"/>
          <w:sz w:val="24"/>
          <w:szCs w:val="24"/>
        </w:rPr>
        <w:t>; Schönbaumsfeld 2016; Coliva &amp; Pritchard 2022, Coliva, Gupta &amp; Wright</w:t>
      </w:r>
      <w:r w:rsidR="00EA4B48" w:rsidRPr="00F64509">
        <w:rPr>
          <w:rFonts w:asciiTheme="majorBidi" w:hAnsiTheme="majorBidi" w:cstheme="majorBidi"/>
          <w:sz w:val="24"/>
          <w:szCs w:val="24"/>
        </w:rPr>
        <w:t xml:space="preserve"> 202</w:t>
      </w:r>
      <w:r w:rsidR="00C269CA">
        <w:rPr>
          <w:rFonts w:asciiTheme="majorBidi" w:hAnsiTheme="majorBidi" w:cstheme="majorBidi"/>
          <w:sz w:val="24"/>
          <w:szCs w:val="24"/>
        </w:rPr>
        <w:t>4</w:t>
      </w:r>
      <w:r w:rsidRPr="00F64509">
        <w:rPr>
          <w:rFonts w:asciiTheme="majorBidi" w:hAnsiTheme="majorBidi" w:cstheme="majorBidi"/>
          <w:sz w:val="24"/>
          <w:szCs w:val="24"/>
        </w:rPr>
        <w:t>), and its implications for relativism (</w:t>
      </w:r>
      <w:r w:rsidR="00E07E15" w:rsidRPr="00F64509">
        <w:rPr>
          <w:rFonts w:asciiTheme="majorBidi" w:hAnsiTheme="majorBidi" w:cstheme="majorBidi"/>
          <w:sz w:val="24"/>
          <w:szCs w:val="24"/>
        </w:rPr>
        <w:t>Moyal-Sharrock 2017</w:t>
      </w:r>
      <w:r w:rsidR="00CD53F8">
        <w:rPr>
          <w:rFonts w:asciiTheme="majorBidi" w:hAnsiTheme="majorBidi" w:cstheme="majorBidi"/>
          <w:sz w:val="24"/>
          <w:szCs w:val="24"/>
        </w:rPr>
        <w:t>; Forthcoming</w:t>
      </w:r>
      <w:r w:rsidR="00E07E15" w:rsidRPr="00F64509">
        <w:rPr>
          <w:rFonts w:asciiTheme="majorBidi" w:hAnsiTheme="majorBidi" w:cstheme="majorBidi"/>
          <w:sz w:val="24"/>
          <w:szCs w:val="24"/>
        </w:rPr>
        <w:t xml:space="preserve">, </w:t>
      </w:r>
      <w:r w:rsidRPr="00F64509">
        <w:rPr>
          <w:rFonts w:asciiTheme="majorBidi" w:hAnsiTheme="majorBidi" w:cstheme="majorBidi"/>
          <w:sz w:val="24"/>
          <w:szCs w:val="24"/>
        </w:rPr>
        <w:t>Coliva 2010</w:t>
      </w:r>
      <w:r w:rsidR="00D66941" w:rsidRPr="00F64509">
        <w:rPr>
          <w:rFonts w:asciiTheme="majorBidi" w:hAnsiTheme="majorBidi" w:cstheme="majorBidi"/>
          <w:sz w:val="24"/>
          <w:szCs w:val="24"/>
        </w:rPr>
        <w:t>a, b, 2019a</w:t>
      </w:r>
      <w:r w:rsidRPr="00F64509">
        <w:rPr>
          <w:rFonts w:asciiTheme="majorBidi" w:hAnsiTheme="majorBidi" w:cstheme="majorBidi"/>
          <w:sz w:val="24"/>
          <w:szCs w:val="24"/>
        </w:rPr>
        <w:t xml:space="preserve">, 2022; </w:t>
      </w:r>
      <w:r w:rsidR="00490A07" w:rsidRPr="00F64509">
        <w:rPr>
          <w:rFonts w:asciiTheme="majorBidi" w:hAnsiTheme="majorBidi" w:cstheme="majorBidi"/>
          <w:sz w:val="24"/>
          <w:szCs w:val="24"/>
        </w:rPr>
        <w:t xml:space="preserve">Pritchard 2010, </w:t>
      </w:r>
      <w:r w:rsidR="004D5D55">
        <w:rPr>
          <w:rFonts w:asciiTheme="majorBidi" w:hAnsiTheme="majorBidi" w:cstheme="majorBidi"/>
          <w:sz w:val="24"/>
          <w:szCs w:val="24"/>
        </w:rPr>
        <w:t xml:space="preserve">2018d; </w:t>
      </w:r>
      <w:r w:rsidRPr="00F64509">
        <w:rPr>
          <w:rFonts w:asciiTheme="majorBidi" w:hAnsiTheme="majorBidi" w:cstheme="majorBidi"/>
          <w:sz w:val="24"/>
          <w:szCs w:val="24"/>
        </w:rPr>
        <w:t>Baghramian &amp; Coliva 2020; Kusch 2013, 2016</w:t>
      </w:r>
      <w:r w:rsidR="00D66941" w:rsidRPr="00F64509">
        <w:rPr>
          <w:rFonts w:asciiTheme="majorBidi" w:hAnsiTheme="majorBidi" w:cstheme="majorBidi"/>
          <w:sz w:val="24"/>
          <w:szCs w:val="24"/>
        </w:rPr>
        <w:t>a, b</w:t>
      </w:r>
      <w:r w:rsidRPr="00F64509">
        <w:rPr>
          <w:rFonts w:asciiTheme="majorBidi" w:hAnsiTheme="majorBidi" w:cstheme="majorBidi"/>
          <w:sz w:val="24"/>
          <w:szCs w:val="24"/>
        </w:rPr>
        <w:t>, 2017; Ashton 2021).</w:t>
      </w:r>
      <w:r w:rsidR="00635B85" w:rsidRPr="00F64509">
        <w:rPr>
          <w:rStyle w:val="FootnoteReference"/>
          <w:rFonts w:asciiTheme="majorBidi" w:hAnsiTheme="majorBidi" w:cstheme="majorBidi"/>
          <w:sz w:val="24"/>
          <w:szCs w:val="24"/>
        </w:rPr>
        <w:footnoteReference w:id="2"/>
      </w:r>
    </w:p>
    <w:p w14:paraId="70643340" w14:textId="55600CA5" w:rsidR="009C431D" w:rsidRPr="00F64509" w:rsidRDefault="009C431D" w:rsidP="00F64509">
      <w:pPr>
        <w:spacing w:line="480" w:lineRule="auto"/>
        <w:jc w:val="both"/>
        <w:rPr>
          <w:rFonts w:asciiTheme="majorBidi" w:hAnsiTheme="majorBidi" w:cstheme="majorBidi"/>
          <w:sz w:val="24"/>
          <w:szCs w:val="24"/>
        </w:rPr>
      </w:pPr>
      <w:r w:rsidRPr="00F64509">
        <w:rPr>
          <w:rFonts w:asciiTheme="majorBidi" w:hAnsiTheme="majorBidi" w:cstheme="majorBidi"/>
          <w:sz w:val="24"/>
          <w:szCs w:val="24"/>
        </w:rPr>
        <w:t xml:space="preserve">More recently, its applications to </w:t>
      </w:r>
      <w:bookmarkStart w:id="1" w:name="_Hlk209573095"/>
      <w:r w:rsidRPr="00F64509">
        <w:rPr>
          <w:rFonts w:asciiTheme="majorBidi" w:hAnsiTheme="majorBidi" w:cstheme="majorBidi"/>
          <w:sz w:val="24"/>
          <w:szCs w:val="24"/>
        </w:rPr>
        <w:t xml:space="preserve">social epistemology </w:t>
      </w:r>
      <w:bookmarkEnd w:id="1"/>
      <w:r w:rsidRPr="00F64509">
        <w:rPr>
          <w:rFonts w:asciiTheme="majorBidi" w:hAnsiTheme="majorBidi" w:cstheme="majorBidi"/>
          <w:sz w:val="24"/>
          <w:szCs w:val="24"/>
        </w:rPr>
        <w:t>have started being investigated</w:t>
      </w:r>
      <w:r w:rsidR="00176617" w:rsidRPr="00F64509">
        <w:rPr>
          <w:rFonts w:asciiTheme="majorBidi" w:hAnsiTheme="majorBidi" w:cstheme="majorBidi"/>
          <w:sz w:val="24"/>
          <w:szCs w:val="24"/>
        </w:rPr>
        <w:t xml:space="preserve"> (Coliva 202</w:t>
      </w:r>
      <w:r w:rsidR="002A7AF6">
        <w:rPr>
          <w:rFonts w:asciiTheme="majorBidi" w:hAnsiTheme="majorBidi" w:cstheme="majorBidi"/>
          <w:sz w:val="24"/>
          <w:szCs w:val="24"/>
        </w:rPr>
        <w:t>5a</w:t>
      </w:r>
      <w:r w:rsidR="00176617" w:rsidRPr="00F64509">
        <w:rPr>
          <w:rFonts w:asciiTheme="majorBidi" w:hAnsiTheme="majorBidi" w:cstheme="majorBidi"/>
          <w:sz w:val="24"/>
          <w:szCs w:val="24"/>
        </w:rPr>
        <w:t xml:space="preserve"> </w:t>
      </w:r>
      <w:r w:rsidR="002A7AF6">
        <w:rPr>
          <w:rFonts w:asciiTheme="majorBidi" w:hAnsiTheme="majorBidi" w:cstheme="majorBidi"/>
          <w:sz w:val="24"/>
          <w:szCs w:val="24"/>
        </w:rPr>
        <w:t>and 2025b</w:t>
      </w:r>
      <w:r w:rsidR="00176617" w:rsidRPr="00F64509">
        <w:rPr>
          <w:rFonts w:asciiTheme="majorBidi" w:hAnsiTheme="majorBidi" w:cstheme="majorBidi"/>
          <w:sz w:val="24"/>
          <w:szCs w:val="24"/>
        </w:rPr>
        <w:t>)</w:t>
      </w:r>
      <w:r w:rsidRPr="00F64509">
        <w:rPr>
          <w:rFonts w:asciiTheme="majorBidi" w:hAnsiTheme="majorBidi" w:cstheme="majorBidi"/>
          <w:sz w:val="24"/>
          <w:szCs w:val="24"/>
        </w:rPr>
        <w:t>, with special attention to the topics of deep disagreement (Lynch 2016; Pritchard 2018</w:t>
      </w:r>
      <w:r w:rsidR="00490A07" w:rsidRPr="00F64509">
        <w:rPr>
          <w:rFonts w:asciiTheme="majorBidi" w:hAnsiTheme="majorBidi" w:cstheme="majorBidi"/>
          <w:sz w:val="24"/>
          <w:szCs w:val="24"/>
        </w:rPr>
        <w:t>a</w:t>
      </w:r>
      <w:r w:rsidRPr="00F64509">
        <w:rPr>
          <w:rFonts w:asciiTheme="majorBidi" w:hAnsiTheme="majorBidi" w:cstheme="majorBidi"/>
          <w:sz w:val="24"/>
          <w:szCs w:val="24"/>
        </w:rPr>
        <w:t>, 2021</w:t>
      </w:r>
      <w:r w:rsidR="00490A07" w:rsidRPr="00F64509">
        <w:rPr>
          <w:rFonts w:asciiTheme="majorBidi" w:hAnsiTheme="majorBidi" w:cstheme="majorBidi"/>
          <w:sz w:val="24"/>
          <w:szCs w:val="24"/>
        </w:rPr>
        <w:t>c</w:t>
      </w:r>
      <w:r w:rsidR="004D5D55">
        <w:rPr>
          <w:rFonts w:asciiTheme="majorBidi" w:hAnsiTheme="majorBidi" w:cstheme="majorBidi"/>
          <w:sz w:val="24"/>
          <w:szCs w:val="24"/>
        </w:rPr>
        <w:t>,</w:t>
      </w:r>
      <w:r w:rsidRPr="00F64509">
        <w:rPr>
          <w:rFonts w:asciiTheme="majorBidi" w:hAnsiTheme="majorBidi" w:cstheme="majorBidi"/>
          <w:sz w:val="24"/>
          <w:szCs w:val="24"/>
        </w:rPr>
        <w:t xml:space="preserve"> </w:t>
      </w:r>
      <w:r w:rsidR="004D5D55">
        <w:rPr>
          <w:rFonts w:asciiTheme="majorBidi" w:hAnsiTheme="majorBidi" w:cstheme="majorBidi"/>
          <w:sz w:val="24"/>
          <w:szCs w:val="24"/>
        </w:rPr>
        <w:t xml:space="preserve">2023c; </w:t>
      </w:r>
      <w:r w:rsidRPr="00F64509">
        <w:rPr>
          <w:rFonts w:asciiTheme="majorBidi" w:hAnsiTheme="majorBidi" w:cstheme="majorBidi"/>
          <w:sz w:val="24"/>
          <w:szCs w:val="24"/>
        </w:rPr>
        <w:t>Ranalli 2020, 2021; Coliva &amp; Palmira 2020, 2021; Coliva &amp; Doulas 2022</w:t>
      </w:r>
      <w:r w:rsidR="00EC595A" w:rsidRPr="00F64509">
        <w:rPr>
          <w:rFonts w:asciiTheme="majorBidi" w:hAnsiTheme="majorBidi" w:cstheme="majorBidi"/>
          <w:sz w:val="24"/>
          <w:szCs w:val="24"/>
        </w:rPr>
        <w:t xml:space="preserve">, </w:t>
      </w:r>
      <w:r w:rsidR="0054342A">
        <w:rPr>
          <w:rFonts w:asciiTheme="majorBidi" w:hAnsiTheme="majorBidi" w:cstheme="majorBidi"/>
          <w:sz w:val="24"/>
          <w:szCs w:val="24"/>
        </w:rPr>
        <w:t>2025</w:t>
      </w:r>
      <w:r w:rsidRPr="00F64509">
        <w:rPr>
          <w:rFonts w:asciiTheme="majorBidi" w:hAnsiTheme="majorBidi" w:cstheme="majorBidi"/>
          <w:sz w:val="24"/>
          <w:szCs w:val="24"/>
        </w:rPr>
        <w:t xml:space="preserve">), </w:t>
      </w:r>
      <w:bookmarkStart w:id="2" w:name="_Hlk209573160"/>
      <w:r w:rsidRPr="00F64509">
        <w:rPr>
          <w:rFonts w:asciiTheme="majorBidi" w:hAnsiTheme="majorBidi" w:cstheme="majorBidi"/>
          <w:sz w:val="24"/>
          <w:szCs w:val="24"/>
        </w:rPr>
        <w:t xml:space="preserve">testimony </w:t>
      </w:r>
      <w:bookmarkEnd w:id="2"/>
      <w:r w:rsidRPr="00F64509">
        <w:rPr>
          <w:rFonts w:asciiTheme="majorBidi" w:hAnsiTheme="majorBidi" w:cstheme="majorBidi"/>
          <w:sz w:val="24"/>
          <w:szCs w:val="24"/>
        </w:rPr>
        <w:t>(Coliva 2019), trust (Hertzberg 1988; Stern 2017</w:t>
      </w:r>
      <w:r w:rsidR="004D5D55">
        <w:rPr>
          <w:rFonts w:asciiTheme="majorBidi" w:hAnsiTheme="majorBidi" w:cstheme="majorBidi"/>
          <w:sz w:val="24"/>
          <w:szCs w:val="24"/>
        </w:rPr>
        <w:t>;</w:t>
      </w:r>
      <w:r w:rsidRPr="00F64509">
        <w:rPr>
          <w:rFonts w:asciiTheme="majorBidi" w:hAnsiTheme="majorBidi" w:cstheme="majorBidi"/>
          <w:sz w:val="24"/>
          <w:szCs w:val="24"/>
        </w:rPr>
        <w:t xml:space="preserve"> </w:t>
      </w:r>
      <w:r w:rsidR="004D5D55">
        <w:rPr>
          <w:rFonts w:asciiTheme="majorBidi" w:hAnsiTheme="majorBidi" w:cstheme="majorBidi"/>
          <w:sz w:val="24"/>
          <w:szCs w:val="24"/>
        </w:rPr>
        <w:t xml:space="preserve">Pritchard 2023a; </w:t>
      </w:r>
      <w:r w:rsidRPr="00F64509">
        <w:rPr>
          <w:rFonts w:asciiTheme="majorBidi" w:hAnsiTheme="majorBidi" w:cstheme="majorBidi"/>
          <w:sz w:val="24"/>
          <w:szCs w:val="24"/>
        </w:rPr>
        <w:t xml:space="preserve">Coliva </w:t>
      </w:r>
      <w:r w:rsidR="00EC595A" w:rsidRPr="00F64509">
        <w:rPr>
          <w:rFonts w:asciiTheme="majorBidi" w:hAnsiTheme="majorBidi" w:cstheme="majorBidi"/>
          <w:sz w:val="24"/>
          <w:szCs w:val="24"/>
        </w:rPr>
        <w:t>202</w:t>
      </w:r>
      <w:r w:rsidR="002A7AF6">
        <w:rPr>
          <w:rFonts w:asciiTheme="majorBidi" w:hAnsiTheme="majorBidi" w:cstheme="majorBidi"/>
          <w:sz w:val="24"/>
          <w:szCs w:val="24"/>
        </w:rPr>
        <w:t>6</w:t>
      </w:r>
      <w:r w:rsidRPr="00F64509">
        <w:rPr>
          <w:rFonts w:asciiTheme="majorBidi" w:hAnsiTheme="majorBidi" w:cstheme="majorBidi"/>
          <w:sz w:val="24"/>
          <w:szCs w:val="24"/>
        </w:rPr>
        <w:t xml:space="preserve">), </w:t>
      </w:r>
      <w:bookmarkStart w:id="3" w:name="_Hlk209573111"/>
      <w:r w:rsidRPr="00F64509">
        <w:rPr>
          <w:rFonts w:asciiTheme="majorBidi" w:hAnsiTheme="majorBidi" w:cstheme="majorBidi"/>
          <w:sz w:val="24"/>
          <w:szCs w:val="24"/>
        </w:rPr>
        <w:t xml:space="preserve">epistemic injustice and feminist epistemology </w:t>
      </w:r>
      <w:bookmarkEnd w:id="3"/>
      <w:r w:rsidR="00B53D40" w:rsidRPr="00F64509">
        <w:rPr>
          <w:rFonts w:asciiTheme="majorBidi" w:hAnsiTheme="majorBidi" w:cstheme="majorBidi"/>
          <w:sz w:val="24"/>
          <w:szCs w:val="24"/>
        </w:rPr>
        <w:t>(Ashton 2019; Boncompagni 2019, 2021; Coliva</w:t>
      </w:r>
      <w:r w:rsidR="00EC595A" w:rsidRPr="00F64509">
        <w:rPr>
          <w:rFonts w:asciiTheme="majorBidi" w:hAnsiTheme="majorBidi" w:cstheme="majorBidi"/>
          <w:sz w:val="24"/>
          <w:szCs w:val="24"/>
        </w:rPr>
        <w:t xml:space="preserve"> 202</w:t>
      </w:r>
      <w:r w:rsidR="002A7AF6">
        <w:rPr>
          <w:rFonts w:asciiTheme="majorBidi" w:hAnsiTheme="majorBidi" w:cstheme="majorBidi"/>
          <w:sz w:val="24"/>
          <w:szCs w:val="24"/>
        </w:rPr>
        <w:t>6</w:t>
      </w:r>
      <w:r w:rsidRPr="00F64509">
        <w:rPr>
          <w:rFonts w:asciiTheme="majorBidi" w:hAnsiTheme="majorBidi" w:cstheme="majorBidi"/>
          <w:sz w:val="24"/>
          <w:szCs w:val="24"/>
        </w:rPr>
        <w:t>)</w:t>
      </w:r>
      <w:r w:rsidR="00490A07" w:rsidRPr="00F64509">
        <w:rPr>
          <w:rFonts w:asciiTheme="majorBidi" w:hAnsiTheme="majorBidi" w:cstheme="majorBidi"/>
          <w:sz w:val="24"/>
          <w:szCs w:val="24"/>
        </w:rPr>
        <w:t xml:space="preserve">, </w:t>
      </w:r>
      <w:r w:rsidR="00AF60B2">
        <w:rPr>
          <w:rFonts w:asciiTheme="majorBidi" w:hAnsiTheme="majorBidi" w:cstheme="majorBidi"/>
          <w:sz w:val="24"/>
          <w:szCs w:val="24"/>
        </w:rPr>
        <w:t>ideology</w:t>
      </w:r>
      <w:r w:rsidR="006069C2">
        <w:rPr>
          <w:rFonts w:asciiTheme="majorBidi" w:hAnsiTheme="majorBidi" w:cstheme="majorBidi"/>
          <w:sz w:val="24"/>
          <w:szCs w:val="24"/>
        </w:rPr>
        <w:t xml:space="preserve"> (</w:t>
      </w:r>
      <w:r w:rsidR="00AF60B2">
        <w:rPr>
          <w:rFonts w:asciiTheme="majorBidi" w:hAnsiTheme="majorBidi" w:cstheme="majorBidi"/>
          <w:sz w:val="24"/>
          <w:szCs w:val="24"/>
        </w:rPr>
        <w:t xml:space="preserve">Ranalli 2022; </w:t>
      </w:r>
      <w:r w:rsidR="006069C2">
        <w:rPr>
          <w:rFonts w:asciiTheme="majorBidi" w:hAnsiTheme="majorBidi" w:cstheme="majorBidi"/>
          <w:sz w:val="24"/>
          <w:szCs w:val="24"/>
        </w:rPr>
        <w:t>Pritchard 2025</w:t>
      </w:r>
      <w:r w:rsidR="00AF60B2">
        <w:rPr>
          <w:rFonts w:asciiTheme="majorBidi" w:hAnsiTheme="majorBidi" w:cstheme="majorBidi"/>
          <w:sz w:val="24"/>
          <w:szCs w:val="24"/>
        </w:rPr>
        <w:t>a, 2025</w:t>
      </w:r>
      <w:r w:rsidR="00C85B3B">
        <w:rPr>
          <w:rFonts w:asciiTheme="majorBidi" w:hAnsiTheme="majorBidi" w:cstheme="majorBidi"/>
          <w:sz w:val="24"/>
          <w:szCs w:val="24"/>
        </w:rPr>
        <w:t>b</w:t>
      </w:r>
      <w:r w:rsidR="00AF60B2">
        <w:rPr>
          <w:rFonts w:asciiTheme="majorBidi" w:hAnsiTheme="majorBidi" w:cstheme="majorBidi"/>
          <w:sz w:val="24"/>
          <w:szCs w:val="24"/>
        </w:rPr>
        <w:t xml:space="preserve">), </w:t>
      </w:r>
      <w:r w:rsidR="00490A07" w:rsidRPr="00F64509">
        <w:rPr>
          <w:rFonts w:asciiTheme="majorBidi" w:hAnsiTheme="majorBidi" w:cstheme="majorBidi"/>
          <w:sz w:val="24"/>
          <w:szCs w:val="24"/>
        </w:rPr>
        <w:t xml:space="preserve">and the </w:t>
      </w:r>
      <w:bookmarkStart w:id="4" w:name="_Hlk209573146"/>
      <w:r w:rsidR="00490A07" w:rsidRPr="00F64509">
        <w:rPr>
          <w:rFonts w:asciiTheme="majorBidi" w:hAnsiTheme="majorBidi" w:cstheme="majorBidi"/>
          <w:sz w:val="24"/>
          <w:szCs w:val="24"/>
        </w:rPr>
        <w:t xml:space="preserve">epistemology of religious belief </w:t>
      </w:r>
      <w:bookmarkEnd w:id="4"/>
      <w:r w:rsidR="00490A07" w:rsidRPr="00F64509">
        <w:rPr>
          <w:rFonts w:asciiTheme="majorBidi" w:hAnsiTheme="majorBidi" w:cstheme="majorBidi"/>
          <w:sz w:val="24"/>
          <w:szCs w:val="24"/>
        </w:rPr>
        <w:t>(Pritchard 2011</w:t>
      </w:r>
      <w:r w:rsidR="00F93221" w:rsidRPr="00F64509">
        <w:rPr>
          <w:rFonts w:asciiTheme="majorBidi" w:hAnsiTheme="majorBidi" w:cstheme="majorBidi"/>
          <w:sz w:val="24"/>
          <w:szCs w:val="24"/>
        </w:rPr>
        <w:t>, 2017</w:t>
      </w:r>
      <w:r w:rsidR="00635B85" w:rsidRPr="00F64509">
        <w:rPr>
          <w:rFonts w:asciiTheme="majorBidi" w:hAnsiTheme="majorBidi" w:cstheme="majorBidi"/>
          <w:sz w:val="24"/>
          <w:szCs w:val="24"/>
        </w:rPr>
        <w:t>a</w:t>
      </w:r>
      <w:r w:rsidR="00F93221" w:rsidRPr="00F64509">
        <w:rPr>
          <w:rFonts w:asciiTheme="majorBidi" w:hAnsiTheme="majorBidi" w:cstheme="majorBidi"/>
          <w:sz w:val="24"/>
          <w:szCs w:val="24"/>
        </w:rPr>
        <w:t>, 2022a</w:t>
      </w:r>
      <w:r w:rsidR="00B53A7E" w:rsidRPr="00F64509">
        <w:rPr>
          <w:rFonts w:asciiTheme="majorBidi" w:hAnsiTheme="majorBidi" w:cstheme="majorBidi"/>
          <w:sz w:val="24"/>
          <w:szCs w:val="24"/>
        </w:rPr>
        <w:t>; Boncompagni 2022</w:t>
      </w:r>
      <w:r w:rsidR="00F93221" w:rsidRPr="00F64509">
        <w:rPr>
          <w:rFonts w:asciiTheme="majorBidi" w:hAnsiTheme="majorBidi" w:cstheme="majorBidi"/>
          <w:sz w:val="24"/>
          <w:szCs w:val="24"/>
        </w:rPr>
        <w:t>)</w:t>
      </w:r>
      <w:r w:rsidRPr="00F64509">
        <w:rPr>
          <w:rFonts w:asciiTheme="majorBidi" w:hAnsiTheme="majorBidi" w:cstheme="majorBidi"/>
          <w:sz w:val="24"/>
          <w:szCs w:val="24"/>
        </w:rPr>
        <w:t xml:space="preserve">. Meanwhile, hybrid versions of hinge epistemology, connecting it specially with virtue </w:t>
      </w:r>
      <w:r w:rsidRPr="00F64509">
        <w:rPr>
          <w:rFonts w:asciiTheme="majorBidi" w:hAnsiTheme="majorBidi" w:cstheme="majorBidi"/>
          <w:sz w:val="24"/>
          <w:szCs w:val="24"/>
        </w:rPr>
        <w:lastRenderedPageBreak/>
        <w:t>epistemology, have started appearing (Greco 2016, 2021; Kelp 2019; Sosa 2021, Ohlhorst 2021), testifying to the interest spurred by the hinge epistemology framework well outside the circle of Wittgenstein scholars.</w:t>
      </w:r>
    </w:p>
    <w:p w14:paraId="2D66BE82" w14:textId="63E06EB0" w:rsidR="009C431D" w:rsidRPr="00F64509" w:rsidRDefault="00932719" w:rsidP="00F64509">
      <w:pPr>
        <w:spacing w:line="480" w:lineRule="auto"/>
        <w:jc w:val="both"/>
        <w:rPr>
          <w:rFonts w:asciiTheme="majorBidi" w:eastAsia="Times New Roman" w:hAnsiTheme="majorBidi" w:cstheme="majorBidi"/>
          <w:bCs/>
          <w:color w:val="000000"/>
          <w:sz w:val="24"/>
          <w:szCs w:val="24"/>
          <w:lang w:eastAsia="it-IT"/>
        </w:rPr>
      </w:pPr>
      <w:r w:rsidRPr="00F64509">
        <w:rPr>
          <w:rFonts w:asciiTheme="majorBidi" w:eastAsia="Times New Roman" w:hAnsiTheme="majorBidi" w:cstheme="majorBidi"/>
          <w:bCs/>
          <w:color w:val="000000"/>
          <w:sz w:val="24"/>
          <w:szCs w:val="24"/>
          <w:lang w:eastAsia="it-IT"/>
        </w:rPr>
        <w:t xml:space="preserve">This chapter presents three kinds of general hinge epistemology proposed by </w:t>
      </w:r>
      <w:bookmarkStart w:id="5" w:name="_Hlk209573192"/>
      <w:r w:rsidRPr="00F64509">
        <w:rPr>
          <w:rFonts w:asciiTheme="majorBidi" w:eastAsia="Times New Roman" w:hAnsiTheme="majorBidi" w:cstheme="majorBidi"/>
          <w:bCs/>
          <w:color w:val="000000"/>
          <w:sz w:val="24"/>
          <w:szCs w:val="24"/>
          <w:lang w:eastAsia="it-IT"/>
        </w:rPr>
        <w:t xml:space="preserve">Danièle Moyal-Sharrock (§1), </w:t>
      </w:r>
      <w:r w:rsidR="00CF75C8" w:rsidRPr="00F64509">
        <w:rPr>
          <w:rFonts w:asciiTheme="majorBidi" w:eastAsia="Times New Roman" w:hAnsiTheme="majorBidi" w:cstheme="majorBidi"/>
          <w:bCs/>
          <w:color w:val="000000"/>
          <w:sz w:val="24"/>
          <w:szCs w:val="24"/>
          <w:lang w:eastAsia="it-IT"/>
        </w:rPr>
        <w:t xml:space="preserve">Duncan Pritchard </w:t>
      </w:r>
      <w:r w:rsidRPr="00F64509">
        <w:rPr>
          <w:rFonts w:asciiTheme="majorBidi" w:eastAsia="Times New Roman" w:hAnsiTheme="majorBidi" w:cstheme="majorBidi"/>
          <w:bCs/>
          <w:color w:val="000000"/>
          <w:sz w:val="24"/>
          <w:szCs w:val="24"/>
          <w:lang w:eastAsia="it-IT"/>
        </w:rPr>
        <w:t>(§</w:t>
      </w:r>
      <w:r w:rsidR="00705810" w:rsidRPr="00F64509">
        <w:rPr>
          <w:rFonts w:asciiTheme="majorBidi" w:eastAsia="Times New Roman" w:hAnsiTheme="majorBidi" w:cstheme="majorBidi"/>
          <w:bCs/>
          <w:color w:val="000000"/>
          <w:sz w:val="24"/>
          <w:szCs w:val="24"/>
          <w:lang w:eastAsia="it-IT"/>
        </w:rPr>
        <w:t>2</w:t>
      </w:r>
      <w:r w:rsidRPr="00F64509">
        <w:rPr>
          <w:rFonts w:asciiTheme="majorBidi" w:eastAsia="Times New Roman" w:hAnsiTheme="majorBidi" w:cstheme="majorBidi"/>
          <w:bCs/>
          <w:color w:val="000000"/>
          <w:sz w:val="24"/>
          <w:szCs w:val="24"/>
          <w:lang w:eastAsia="it-IT"/>
        </w:rPr>
        <w:t>)</w:t>
      </w:r>
      <w:r w:rsidR="002A1FE8" w:rsidRPr="00F64509">
        <w:rPr>
          <w:rFonts w:asciiTheme="majorBidi" w:eastAsia="Times New Roman" w:hAnsiTheme="majorBidi" w:cstheme="majorBidi"/>
          <w:bCs/>
          <w:color w:val="000000"/>
          <w:sz w:val="24"/>
          <w:szCs w:val="24"/>
          <w:lang w:eastAsia="it-IT"/>
        </w:rPr>
        <w:t>,</w:t>
      </w:r>
      <w:r w:rsidR="00B53D40" w:rsidRPr="00F64509">
        <w:rPr>
          <w:rFonts w:asciiTheme="majorBidi" w:eastAsia="Times New Roman" w:hAnsiTheme="majorBidi" w:cstheme="majorBidi"/>
          <w:bCs/>
          <w:color w:val="000000"/>
          <w:sz w:val="24"/>
          <w:szCs w:val="24"/>
          <w:lang w:eastAsia="it-IT"/>
        </w:rPr>
        <w:t xml:space="preserve"> </w:t>
      </w:r>
      <w:r w:rsidR="00705810" w:rsidRPr="00F64509">
        <w:rPr>
          <w:rFonts w:asciiTheme="majorBidi" w:eastAsia="Times New Roman" w:hAnsiTheme="majorBidi" w:cstheme="majorBidi"/>
          <w:bCs/>
          <w:color w:val="000000"/>
          <w:sz w:val="24"/>
          <w:szCs w:val="24"/>
          <w:lang w:eastAsia="it-IT"/>
        </w:rPr>
        <w:t xml:space="preserve">and </w:t>
      </w:r>
      <w:r w:rsidR="00CF75C8" w:rsidRPr="00F64509">
        <w:rPr>
          <w:rFonts w:asciiTheme="majorBidi" w:eastAsia="Times New Roman" w:hAnsiTheme="majorBidi" w:cstheme="majorBidi"/>
          <w:bCs/>
          <w:color w:val="000000"/>
          <w:sz w:val="24"/>
          <w:szCs w:val="24"/>
          <w:lang w:eastAsia="it-IT"/>
        </w:rPr>
        <w:t xml:space="preserve">Annalisa Coliva </w:t>
      </w:r>
      <w:bookmarkEnd w:id="5"/>
      <w:r w:rsidR="00705810" w:rsidRPr="00F64509">
        <w:rPr>
          <w:rFonts w:asciiTheme="majorBidi" w:eastAsia="Times New Roman" w:hAnsiTheme="majorBidi" w:cstheme="majorBidi"/>
          <w:bCs/>
          <w:color w:val="000000"/>
          <w:sz w:val="24"/>
          <w:szCs w:val="24"/>
          <w:lang w:eastAsia="it-IT"/>
        </w:rPr>
        <w:t xml:space="preserve">(§3), </w:t>
      </w:r>
      <w:r w:rsidR="00B53D40" w:rsidRPr="00F64509">
        <w:rPr>
          <w:rFonts w:asciiTheme="majorBidi" w:eastAsia="Times New Roman" w:hAnsiTheme="majorBidi" w:cstheme="majorBidi"/>
          <w:bCs/>
          <w:color w:val="000000"/>
          <w:sz w:val="24"/>
          <w:szCs w:val="24"/>
          <w:lang w:eastAsia="it-IT"/>
        </w:rPr>
        <w:t>respectively</w:t>
      </w:r>
      <w:r w:rsidRPr="00F64509">
        <w:rPr>
          <w:rFonts w:asciiTheme="majorBidi" w:eastAsia="Times New Roman" w:hAnsiTheme="majorBidi" w:cstheme="majorBidi"/>
          <w:bCs/>
          <w:color w:val="000000"/>
          <w:sz w:val="24"/>
          <w:szCs w:val="24"/>
          <w:lang w:eastAsia="it-IT"/>
        </w:rPr>
        <w:t>. Each section highlights points of similarity and departure from Wittgenstein</w:t>
      </w:r>
      <w:r w:rsidR="00B53A7E" w:rsidRPr="00F64509">
        <w:rPr>
          <w:rFonts w:asciiTheme="majorBidi" w:eastAsia="Times New Roman" w:hAnsiTheme="majorBidi" w:cstheme="majorBidi"/>
          <w:bCs/>
          <w:color w:val="000000"/>
          <w:sz w:val="24"/>
          <w:szCs w:val="24"/>
          <w:lang w:eastAsia="it-IT"/>
        </w:rPr>
        <w:t>’</w:t>
      </w:r>
      <w:r w:rsidRPr="00F64509">
        <w:rPr>
          <w:rFonts w:asciiTheme="majorBidi" w:eastAsia="Times New Roman" w:hAnsiTheme="majorBidi" w:cstheme="majorBidi"/>
          <w:bCs/>
          <w:color w:val="000000"/>
          <w:sz w:val="24"/>
          <w:szCs w:val="24"/>
          <w:lang w:eastAsia="it-IT"/>
        </w:rPr>
        <w:t>s text.</w:t>
      </w:r>
      <w:r w:rsidR="00176DA6" w:rsidRPr="00F64509">
        <w:rPr>
          <w:rFonts w:asciiTheme="majorBidi" w:eastAsia="Times New Roman" w:hAnsiTheme="majorBidi" w:cstheme="majorBidi"/>
          <w:bCs/>
          <w:color w:val="000000"/>
          <w:sz w:val="24"/>
          <w:szCs w:val="24"/>
          <w:lang w:eastAsia="it-IT"/>
        </w:rPr>
        <w:t xml:space="preserve"> </w:t>
      </w:r>
    </w:p>
    <w:p w14:paraId="27465E2A" w14:textId="77777777" w:rsidR="00932719" w:rsidRPr="00F64509" w:rsidRDefault="00932719" w:rsidP="00F64509">
      <w:pPr>
        <w:spacing w:line="480" w:lineRule="auto"/>
        <w:jc w:val="both"/>
        <w:rPr>
          <w:rFonts w:asciiTheme="majorBidi" w:eastAsia="Times New Roman" w:hAnsiTheme="majorBidi" w:cstheme="majorBidi"/>
          <w:b/>
          <w:color w:val="000000"/>
          <w:sz w:val="24"/>
          <w:szCs w:val="24"/>
          <w:lang w:eastAsia="it-IT"/>
        </w:rPr>
      </w:pPr>
    </w:p>
    <w:p w14:paraId="1F373245" w14:textId="66F01BE4" w:rsidR="001B2FAD" w:rsidRPr="00B50A21" w:rsidRDefault="00226C70" w:rsidP="00B50A21">
      <w:pPr>
        <w:pStyle w:val="ListParagraph"/>
        <w:numPr>
          <w:ilvl w:val="0"/>
          <w:numId w:val="2"/>
        </w:numPr>
        <w:spacing w:line="480" w:lineRule="auto"/>
        <w:contextualSpacing w:val="0"/>
        <w:jc w:val="both"/>
        <w:rPr>
          <w:rFonts w:asciiTheme="majorBidi" w:eastAsia="Times New Roman" w:hAnsiTheme="majorBidi" w:cstheme="majorBidi"/>
          <w:b/>
          <w:color w:val="000000"/>
          <w:sz w:val="24"/>
          <w:szCs w:val="24"/>
          <w:lang w:eastAsia="it-IT"/>
        </w:rPr>
      </w:pPr>
      <w:r w:rsidRPr="00F64509">
        <w:rPr>
          <w:rFonts w:asciiTheme="majorBidi" w:eastAsia="Times New Roman" w:hAnsiTheme="majorBidi" w:cstheme="majorBidi"/>
          <w:b/>
          <w:color w:val="000000"/>
          <w:sz w:val="24"/>
          <w:szCs w:val="24"/>
          <w:lang w:eastAsia="it-IT"/>
        </w:rPr>
        <w:t>Moyal-Sharrock</w:t>
      </w:r>
      <w:r w:rsidR="00B53A7E" w:rsidRPr="00F64509">
        <w:rPr>
          <w:rFonts w:asciiTheme="majorBidi" w:eastAsia="Times New Roman" w:hAnsiTheme="majorBidi" w:cstheme="majorBidi"/>
          <w:b/>
          <w:color w:val="000000"/>
          <w:sz w:val="24"/>
          <w:szCs w:val="24"/>
          <w:lang w:eastAsia="it-IT"/>
        </w:rPr>
        <w:t>’</w:t>
      </w:r>
      <w:r w:rsidRPr="00F64509">
        <w:rPr>
          <w:rFonts w:asciiTheme="majorBidi" w:eastAsia="Times New Roman" w:hAnsiTheme="majorBidi" w:cstheme="majorBidi"/>
          <w:b/>
          <w:color w:val="000000"/>
          <w:sz w:val="24"/>
          <w:szCs w:val="24"/>
          <w:lang w:eastAsia="it-IT"/>
        </w:rPr>
        <w:t>s nonpropositional hinge epistemology</w:t>
      </w:r>
    </w:p>
    <w:p w14:paraId="78B684E2" w14:textId="77777777" w:rsidR="00104E28" w:rsidRDefault="00B53A7E" w:rsidP="00104E28">
      <w:pPr>
        <w:pStyle w:val="ListParagraph"/>
        <w:spacing w:line="480" w:lineRule="auto"/>
        <w:ind w:left="0"/>
        <w:contextualSpacing w:val="0"/>
        <w:jc w:val="both"/>
        <w:rPr>
          <w:rFonts w:asciiTheme="majorBidi" w:hAnsiTheme="majorBidi" w:cstheme="majorBidi"/>
          <w:sz w:val="24"/>
          <w:szCs w:val="24"/>
        </w:rPr>
      </w:pPr>
      <w:r w:rsidRPr="00F64509">
        <w:rPr>
          <w:rFonts w:asciiTheme="majorBidi" w:hAnsiTheme="majorBidi" w:cstheme="majorBidi"/>
          <w:sz w:val="24"/>
          <w:szCs w:val="24"/>
        </w:rPr>
        <w:t xml:space="preserve">Moyal-Sharrock’s </w:t>
      </w:r>
      <w:r w:rsidR="00226C70" w:rsidRPr="00F64509">
        <w:rPr>
          <w:rFonts w:asciiTheme="majorBidi" w:hAnsiTheme="majorBidi" w:cstheme="majorBidi"/>
          <w:sz w:val="24"/>
          <w:szCs w:val="24"/>
        </w:rPr>
        <w:t>version of hinge epistemology rests on Wittgenstein</w:t>
      </w:r>
      <w:r w:rsidRPr="00F64509">
        <w:rPr>
          <w:rFonts w:asciiTheme="majorBidi" w:hAnsiTheme="majorBidi" w:cstheme="majorBidi"/>
          <w:sz w:val="24"/>
          <w:szCs w:val="24"/>
        </w:rPr>
        <w:t>’</w:t>
      </w:r>
      <w:r w:rsidR="00226C70" w:rsidRPr="00F64509">
        <w:rPr>
          <w:rFonts w:asciiTheme="majorBidi" w:hAnsiTheme="majorBidi" w:cstheme="majorBidi"/>
          <w:sz w:val="24"/>
          <w:szCs w:val="24"/>
        </w:rPr>
        <w:t xml:space="preserve">s groundbreaking </w:t>
      </w:r>
      <w:r w:rsidR="006764DC" w:rsidRPr="00F64509">
        <w:rPr>
          <w:rFonts w:asciiTheme="majorBidi" w:hAnsiTheme="majorBidi" w:cstheme="majorBidi"/>
          <w:sz w:val="24"/>
          <w:szCs w:val="24"/>
        </w:rPr>
        <w:t>realization,</w:t>
      </w:r>
      <w:r w:rsidR="00226C70" w:rsidRPr="00F64509">
        <w:rPr>
          <w:rFonts w:asciiTheme="majorBidi" w:hAnsiTheme="majorBidi" w:cstheme="majorBidi"/>
          <w:sz w:val="24"/>
          <w:szCs w:val="24"/>
        </w:rPr>
        <w:t xml:space="preserve"> in </w:t>
      </w:r>
      <w:r w:rsidR="00226C70" w:rsidRPr="00F64509">
        <w:rPr>
          <w:rFonts w:asciiTheme="majorBidi" w:hAnsiTheme="majorBidi" w:cstheme="majorBidi"/>
          <w:i/>
          <w:iCs/>
          <w:sz w:val="24"/>
          <w:szCs w:val="24"/>
        </w:rPr>
        <w:t>On Certainty</w:t>
      </w:r>
      <w:r w:rsidR="006764DC" w:rsidRPr="00F64509">
        <w:rPr>
          <w:rFonts w:asciiTheme="majorBidi" w:hAnsiTheme="majorBidi" w:cstheme="majorBidi"/>
          <w:i/>
          <w:iCs/>
          <w:sz w:val="24"/>
          <w:szCs w:val="24"/>
        </w:rPr>
        <w:t>,</w:t>
      </w:r>
      <w:r w:rsidR="00226C70" w:rsidRPr="00F64509">
        <w:rPr>
          <w:rFonts w:asciiTheme="majorBidi" w:hAnsiTheme="majorBidi" w:cstheme="majorBidi"/>
          <w:sz w:val="24"/>
          <w:szCs w:val="24"/>
        </w:rPr>
        <w:t xml:space="preserve"> that our basic certainty is neither epistemic nor propositional but enacted and grammatical. </w:t>
      </w:r>
      <w:r w:rsidR="003C7958" w:rsidRPr="00F64509">
        <w:rPr>
          <w:rFonts w:asciiTheme="majorBidi" w:hAnsiTheme="majorBidi" w:cstheme="majorBidi"/>
          <w:sz w:val="24"/>
          <w:szCs w:val="24"/>
        </w:rPr>
        <w:t xml:space="preserve">Only such a reading, </w:t>
      </w:r>
      <w:r w:rsidRPr="00F64509">
        <w:rPr>
          <w:rFonts w:asciiTheme="majorBidi" w:hAnsiTheme="majorBidi" w:cstheme="majorBidi"/>
          <w:sz w:val="24"/>
          <w:szCs w:val="24"/>
        </w:rPr>
        <w:t xml:space="preserve">she </w:t>
      </w:r>
      <w:r w:rsidR="003C7958" w:rsidRPr="00F64509">
        <w:rPr>
          <w:rFonts w:asciiTheme="majorBidi" w:hAnsiTheme="majorBidi" w:cstheme="majorBidi"/>
          <w:sz w:val="24"/>
          <w:szCs w:val="24"/>
        </w:rPr>
        <w:t>contend</w:t>
      </w:r>
      <w:r w:rsidRPr="00F64509">
        <w:rPr>
          <w:rFonts w:asciiTheme="majorBidi" w:hAnsiTheme="majorBidi" w:cstheme="majorBidi"/>
          <w:sz w:val="24"/>
          <w:szCs w:val="24"/>
        </w:rPr>
        <w:t>s</w:t>
      </w:r>
      <w:r w:rsidR="003C7958" w:rsidRPr="00F64509">
        <w:rPr>
          <w:rFonts w:asciiTheme="majorBidi" w:hAnsiTheme="majorBidi" w:cstheme="majorBidi"/>
          <w:sz w:val="24"/>
          <w:szCs w:val="24"/>
        </w:rPr>
        <w:t>, takes</w:t>
      </w:r>
      <w:r w:rsidR="00226C70" w:rsidRPr="00F64509">
        <w:rPr>
          <w:rFonts w:asciiTheme="majorBidi" w:hAnsiTheme="majorBidi" w:cstheme="majorBidi"/>
          <w:sz w:val="24"/>
          <w:szCs w:val="24"/>
        </w:rPr>
        <w:t xml:space="preserve"> </w:t>
      </w:r>
      <w:r w:rsidRPr="00F64509">
        <w:rPr>
          <w:rFonts w:asciiTheme="majorBidi" w:hAnsiTheme="majorBidi" w:cstheme="majorBidi"/>
          <w:sz w:val="24"/>
          <w:szCs w:val="24"/>
        </w:rPr>
        <w:t>Wittgenstein’s</w:t>
      </w:r>
      <w:r w:rsidR="00226C70" w:rsidRPr="00F64509">
        <w:rPr>
          <w:rFonts w:asciiTheme="majorBidi" w:hAnsiTheme="majorBidi" w:cstheme="majorBidi"/>
          <w:sz w:val="24"/>
          <w:szCs w:val="24"/>
        </w:rPr>
        <w:t xml:space="preserve"> insight to its full </w:t>
      </w:r>
      <w:r w:rsidR="003C7958" w:rsidRPr="00F64509">
        <w:rPr>
          <w:rFonts w:asciiTheme="majorBidi" w:hAnsiTheme="majorBidi" w:cstheme="majorBidi"/>
          <w:sz w:val="24"/>
          <w:szCs w:val="24"/>
        </w:rPr>
        <w:t>realization; that is,</w:t>
      </w:r>
      <w:r w:rsidR="00226C70" w:rsidRPr="00F64509">
        <w:rPr>
          <w:rFonts w:asciiTheme="majorBidi" w:hAnsiTheme="majorBidi" w:cstheme="majorBidi"/>
          <w:sz w:val="24"/>
          <w:szCs w:val="24"/>
        </w:rPr>
        <w:t xml:space="preserve"> solve</w:t>
      </w:r>
      <w:r w:rsidR="006764DC" w:rsidRPr="00F64509">
        <w:rPr>
          <w:rFonts w:asciiTheme="majorBidi" w:hAnsiTheme="majorBidi" w:cstheme="majorBidi"/>
          <w:sz w:val="24"/>
          <w:szCs w:val="24"/>
        </w:rPr>
        <w:t>s</w:t>
      </w:r>
      <w:r w:rsidR="00226C70" w:rsidRPr="00F64509">
        <w:rPr>
          <w:rFonts w:asciiTheme="majorBidi" w:hAnsiTheme="majorBidi" w:cstheme="majorBidi"/>
          <w:sz w:val="24"/>
          <w:szCs w:val="24"/>
        </w:rPr>
        <w:t xml:space="preserve"> the infinite regress of justification </w:t>
      </w:r>
      <w:r w:rsidR="006764DC" w:rsidRPr="00F64509">
        <w:rPr>
          <w:rFonts w:asciiTheme="majorBidi" w:hAnsiTheme="majorBidi" w:cstheme="majorBidi"/>
          <w:sz w:val="24"/>
          <w:szCs w:val="24"/>
        </w:rPr>
        <w:t>thereby</w:t>
      </w:r>
      <w:r w:rsidR="00226C70" w:rsidRPr="00F64509">
        <w:rPr>
          <w:rFonts w:asciiTheme="majorBidi" w:hAnsiTheme="majorBidi" w:cstheme="majorBidi"/>
          <w:sz w:val="24"/>
          <w:szCs w:val="24"/>
        </w:rPr>
        <w:t xml:space="preserve"> dissolv</w:t>
      </w:r>
      <w:r w:rsidR="006764DC" w:rsidRPr="00F64509">
        <w:rPr>
          <w:rFonts w:asciiTheme="majorBidi" w:hAnsiTheme="majorBidi" w:cstheme="majorBidi"/>
          <w:sz w:val="24"/>
          <w:szCs w:val="24"/>
        </w:rPr>
        <w:t>ing</w:t>
      </w:r>
      <w:r w:rsidR="00226C70" w:rsidRPr="00F64509">
        <w:rPr>
          <w:rFonts w:asciiTheme="majorBidi" w:hAnsiTheme="majorBidi" w:cstheme="majorBidi"/>
          <w:sz w:val="24"/>
          <w:szCs w:val="24"/>
        </w:rPr>
        <w:t xml:space="preserve"> radical scepticism.</w:t>
      </w:r>
      <w:bookmarkStart w:id="6" w:name="_Hlk25242450"/>
    </w:p>
    <w:p w14:paraId="2ABF2868" w14:textId="35221CC5" w:rsidR="00BE7B5B" w:rsidRPr="00104E28" w:rsidRDefault="00BE7B5B" w:rsidP="00104E28">
      <w:pPr>
        <w:pStyle w:val="ListParagraph"/>
        <w:spacing w:line="480" w:lineRule="auto"/>
        <w:ind w:left="0"/>
        <w:contextualSpacing w:val="0"/>
        <w:jc w:val="both"/>
        <w:rPr>
          <w:rFonts w:asciiTheme="majorBidi" w:eastAsia="Times New Roman" w:hAnsiTheme="majorBidi" w:cstheme="majorBidi"/>
          <w:kern w:val="32"/>
          <w:sz w:val="24"/>
          <w:szCs w:val="24"/>
          <w:lang w:val="en-GB" w:eastAsia="en-GB"/>
        </w:rPr>
      </w:pPr>
      <w:r w:rsidRPr="00F64509">
        <w:rPr>
          <w:rFonts w:asciiTheme="majorBidi" w:eastAsia="Times New Roman" w:hAnsiTheme="majorBidi" w:cstheme="majorBidi"/>
          <w:kern w:val="32"/>
          <w:sz w:val="24"/>
          <w:szCs w:val="24"/>
          <w:lang w:val="en-GB" w:eastAsia="en-GB"/>
        </w:rPr>
        <w:t xml:space="preserve">In his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Proof of an External World</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(1939), G.E. Moore, took it upon himself to prove the existence of external objects. This endeavour began with an </w:t>
      </w:r>
      <w:r w:rsidRPr="00F64509">
        <w:rPr>
          <w:rFonts w:asciiTheme="majorBidi" w:eastAsia="Times New Roman" w:hAnsiTheme="majorBidi" w:cstheme="majorBidi"/>
          <w:i/>
          <w:kern w:val="32"/>
          <w:sz w:val="24"/>
          <w:szCs w:val="24"/>
          <w:lang w:val="en-GB" w:eastAsia="en-GB"/>
        </w:rPr>
        <w:t>act</w:t>
      </w:r>
      <w:r w:rsidRPr="00F64509">
        <w:rPr>
          <w:rFonts w:asciiTheme="majorBidi" w:eastAsia="Times New Roman" w:hAnsiTheme="majorBidi" w:cstheme="majorBidi"/>
          <w:kern w:val="32"/>
          <w:sz w:val="24"/>
          <w:szCs w:val="24"/>
          <w:lang w:val="en-GB" w:eastAsia="en-GB"/>
        </w:rPr>
        <w:t xml:space="preserve">, the act of showing his hand, and this purported to be a </w:t>
      </w:r>
      <w:r w:rsidRPr="00F64509">
        <w:rPr>
          <w:rFonts w:asciiTheme="majorBidi" w:eastAsia="Times New Roman" w:hAnsiTheme="majorBidi" w:cstheme="majorBidi"/>
          <w:i/>
          <w:kern w:val="32"/>
          <w:sz w:val="24"/>
          <w:szCs w:val="24"/>
          <w:lang w:val="en-GB" w:eastAsia="en-GB"/>
        </w:rPr>
        <w:t>display of knowledge</w:t>
      </w:r>
      <w:r w:rsidRPr="00F64509">
        <w:rPr>
          <w:rFonts w:asciiTheme="majorBidi" w:eastAsia="Times New Roman" w:hAnsiTheme="majorBidi" w:cstheme="majorBidi"/>
          <w:kern w:val="32"/>
          <w:sz w:val="24"/>
          <w:szCs w:val="24"/>
          <w:lang w:val="en-GB" w:eastAsia="en-GB"/>
        </w:rPr>
        <w:t xml:space="preserve">. One of the conditions for the validity of a proof, writes Moore anticipating sceptical objection, is that one must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know</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one</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s premise (i.e.</w:t>
      </w:r>
      <w:r w:rsidR="00DA1556"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Here is a hand</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w:t>
      </w:r>
      <w:r w:rsidR="00DA1556"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w:t>
      </w:r>
      <w:r w:rsidR="00A77E48" w:rsidRPr="00F64509">
        <w:rPr>
          <w:rFonts w:asciiTheme="majorBidi" w:eastAsia="Times New Roman" w:hAnsiTheme="majorBidi" w:cstheme="majorBidi"/>
          <w:kern w:val="32"/>
          <w:sz w:val="24"/>
          <w:szCs w:val="24"/>
          <w:lang w:val="en-GB" w:eastAsia="en-GB"/>
        </w:rPr>
        <w:t>but</w:t>
      </w:r>
      <w:r w:rsidRPr="00F64509">
        <w:rPr>
          <w:rFonts w:asciiTheme="majorBidi" w:eastAsia="Times New Roman" w:hAnsiTheme="majorBidi" w:cstheme="majorBidi"/>
          <w:kern w:val="32"/>
          <w:sz w:val="24"/>
          <w:szCs w:val="24"/>
          <w:lang w:val="en-GB" w:eastAsia="en-GB"/>
        </w:rPr>
        <w:t xml:space="preserve"> although he admits his inability to prove he knows his premise, Moore does not see this as invalidating; he insists that he cannot but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know</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that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Here is a hand</w:t>
      </w:r>
      <w:r w:rsidR="00B53A7E" w:rsidRPr="00F64509">
        <w:rPr>
          <w:rFonts w:asciiTheme="majorBidi" w:eastAsia="Times New Roman" w:hAnsiTheme="majorBidi" w:cstheme="majorBidi"/>
          <w:kern w:val="32"/>
          <w:sz w:val="24"/>
          <w:szCs w:val="24"/>
          <w:lang w:val="en-GB" w:eastAsia="en-GB"/>
        </w:rPr>
        <w:t>”</w:t>
      </w:r>
      <w:r w:rsidR="00DA1556" w:rsidRPr="00F64509">
        <w:rPr>
          <w:rStyle w:val="FootnoteReference"/>
          <w:rFonts w:asciiTheme="majorBidi" w:eastAsia="Times New Roman" w:hAnsiTheme="majorBidi" w:cstheme="majorBidi"/>
          <w:kern w:val="32"/>
          <w:sz w:val="24"/>
          <w:szCs w:val="24"/>
          <w:lang w:val="en-GB" w:eastAsia="en-GB"/>
        </w:rPr>
        <w:footnoteReference w:id="3"/>
      </w:r>
      <w:r w:rsidRPr="00F64509">
        <w:rPr>
          <w:rFonts w:asciiTheme="majorBidi" w:eastAsia="Times New Roman" w:hAnsiTheme="majorBidi" w:cstheme="majorBidi"/>
          <w:kern w:val="32"/>
          <w:sz w:val="24"/>
          <w:szCs w:val="24"/>
          <w:lang w:val="en-GB" w:eastAsia="en-GB"/>
        </w:rPr>
        <w:t xml:space="preserve">. Wittgenstein will prove him wrong: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For when Moore says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I know that that</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s </w:t>
      </w:r>
      <w:r w:rsidR="00B53A7E" w:rsidRPr="00F64509">
        <w:rPr>
          <w:rFonts w:asciiTheme="majorBidi" w:eastAsia="Times New Roman" w:hAnsiTheme="majorBidi" w:cstheme="majorBidi"/>
          <w:kern w:val="32"/>
          <w:sz w:val="24"/>
          <w:szCs w:val="24"/>
          <w:lang w:val="en-GB" w:eastAsia="en-GB"/>
        </w:rPr>
        <w:t xml:space="preserve">...’ </w:t>
      </w:r>
      <w:r w:rsidRPr="00F64509">
        <w:rPr>
          <w:rFonts w:asciiTheme="majorBidi" w:eastAsia="Times New Roman" w:hAnsiTheme="majorBidi" w:cstheme="majorBidi"/>
          <w:kern w:val="32"/>
          <w:sz w:val="24"/>
          <w:szCs w:val="24"/>
          <w:lang w:val="en-GB" w:eastAsia="en-GB"/>
        </w:rPr>
        <w:t xml:space="preserve">I want to reply </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you don</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t know anything!</w:t>
      </w:r>
      <w:r w:rsidR="00B53A7E"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(OC 407).</w:t>
      </w:r>
    </w:p>
    <w:bookmarkEnd w:id="6"/>
    <w:p w14:paraId="46738BB1" w14:textId="46713CF7" w:rsidR="00E92AA8" w:rsidRPr="00F64509" w:rsidRDefault="00E92AA8" w:rsidP="00F64509">
      <w:pPr>
        <w:spacing w:line="480" w:lineRule="auto"/>
        <w:jc w:val="both"/>
        <w:rPr>
          <w:rFonts w:asciiTheme="majorBidi" w:eastAsia="Times New Roman" w:hAnsiTheme="majorBidi" w:cstheme="majorBidi"/>
          <w:kern w:val="32"/>
          <w:sz w:val="24"/>
          <w:szCs w:val="24"/>
          <w:lang w:val="en-GB" w:eastAsia="en-GB"/>
        </w:rPr>
      </w:pPr>
      <w:r w:rsidRPr="00F64509">
        <w:rPr>
          <w:rFonts w:asciiTheme="majorBidi" w:eastAsia="Calibri" w:hAnsiTheme="majorBidi" w:cstheme="majorBidi"/>
          <w:sz w:val="24"/>
          <w:szCs w:val="24"/>
          <w:lang w:val="en-GB"/>
        </w:rPr>
        <w:lastRenderedPageBreak/>
        <w:t xml:space="preserve">Wittgenstein agrees that </w:t>
      </w:r>
      <w:r w:rsidR="00A77E48" w:rsidRPr="00F64509">
        <w:rPr>
          <w:rFonts w:asciiTheme="majorBidi" w:eastAsia="Calibri" w:hAnsiTheme="majorBidi" w:cstheme="majorBidi"/>
          <w:sz w:val="24"/>
          <w:szCs w:val="24"/>
          <w:lang w:val="en-GB"/>
        </w:rPr>
        <w:t>such</w:t>
      </w:r>
      <w:r w:rsidRPr="00F64509">
        <w:rPr>
          <w:rFonts w:asciiTheme="majorBidi" w:eastAsia="Calibri" w:hAnsiTheme="majorBidi" w:cstheme="majorBidi"/>
          <w:sz w:val="24"/>
          <w:szCs w:val="24"/>
          <w:lang w:val="en-GB"/>
        </w:rPr>
        <w:t xml:space="preserve"> objects of Moore</w:t>
      </w:r>
      <w:r w:rsidR="00B53A7E"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 xml:space="preserve">s assurance are those of our most unquestionable beliefs but </w:t>
      </w:r>
      <w:r w:rsidR="001B2FAD" w:rsidRPr="00F64509">
        <w:rPr>
          <w:rFonts w:asciiTheme="majorBidi" w:eastAsia="Calibri" w:hAnsiTheme="majorBidi" w:cstheme="majorBidi"/>
          <w:sz w:val="24"/>
          <w:szCs w:val="24"/>
          <w:lang w:val="en-GB"/>
        </w:rPr>
        <w:t>disagrees</w:t>
      </w:r>
      <w:r w:rsidRPr="00F64509">
        <w:rPr>
          <w:rFonts w:asciiTheme="majorBidi" w:eastAsia="Calibri" w:hAnsiTheme="majorBidi" w:cstheme="majorBidi"/>
          <w:sz w:val="24"/>
          <w:szCs w:val="24"/>
          <w:lang w:val="en-GB"/>
        </w:rPr>
        <w:t xml:space="preserve"> that this makes them objects of </w:t>
      </w:r>
      <w:r w:rsidRPr="00F64509">
        <w:rPr>
          <w:rFonts w:asciiTheme="majorBidi" w:eastAsia="Calibri" w:hAnsiTheme="majorBidi" w:cstheme="majorBidi"/>
          <w:i/>
          <w:iCs/>
          <w:sz w:val="24"/>
          <w:szCs w:val="24"/>
          <w:lang w:val="en-GB"/>
        </w:rPr>
        <w:t>knowledge</w:t>
      </w:r>
      <w:r w:rsidRPr="00F64509">
        <w:rPr>
          <w:rFonts w:asciiTheme="majorBidi" w:eastAsia="Calibri" w:hAnsiTheme="majorBidi" w:cstheme="majorBidi"/>
          <w:sz w:val="24"/>
          <w:szCs w:val="24"/>
          <w:lang w:val="en-GB"/>
        </w:rPr>
        <w:t xml:space="preserve"> – </w:t>
      </w:r>
      <w:r w:rsidR="00B53A7E"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I cannot possibly doubt that I was never in the stratosphere. Does that make me know it? Does that make it true?</w:t>
      </w:r>
      <w:r w:rsidR="00B53A7E"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 xml:space="preserve"> (OC 222). His answer is negative: the certainty in question is </w:t>
      </w:r>
      <w:r w:rsidRPr="00F64509">
        <w:rPr>
          <w:rFonts w:asciiTheme="majorBidi" w:eastAsia="Calibri" w:hAnsiTheme="majorBidi" w:cstheme="majorBidi"/>
          <w:i/>
          <w:iCs/>
          <w:sz w:val="24"/>
          <w:szCs w:val="24"/>
          <w:lang w:val="en-GB"/>
        </w:rPr>
        <w:t>not</w:t>
      </w:r>
      <w:r w:rsidRPr="00F64509">
        <w:rPr>
          <w:rFonts w:asciiTheme="majorBidi" w:eastAsia="Calibri" w:hAnsiTheme="majorBidi" w:cstheme="majorBidi"/>
          <w:sz w:val="24"/>
          <w:szCs w:val="24"/>
          <w:lang w:val="en-GB"/>
        </w:rPr>
        <w:t xml:space="preserve"> epistemic; it is of a more foundational breed than knowing:</w:t>
      </w:r>
      <w:r w:rsidRPr="00F64509">
        <w:rPr>
          <w:rFonts w:asciiTheme="majorBidi" w:eastAsia="Times New Roman" w:hAnsiTheme="majorBidi" w:cstheme="majorBidi"/>
          <w:sz w:val="24"/>
          <w:szCs w:val="24"/>
          <w:lang w:val="en-GB" w:eastAsia="en-GB"/>
        </w:rPr>
        <w:t xml:space="preserve"> </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What we have here is a foundation for all my action. But it seems to me that it is wrongly expressed by the words </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I know</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(OC 414). Wittgenstein realizes that the regress problem</w:t>
      </w:r>
      <w:r w:rsidR="00A77E48" w:rsidRPr="00F64509">
        <w:rPr>
          <w:rFonts w:asciiTheme="majorBidi" w:eastAsia="Times New Roman" w:hAnsiTheme="majorBidi" w:cstheme="majorBidi"/>
          <w:sz w:val="24"/>
          <w:szCs w:val="24"/>
          <w:lang w:val="en-GB" w:eastAsia="en-GB"/>
        </w:rPr>
        <w:t xml:space="preserve"> of epistemology</w:t>
      </w:r>
      <w:r w:rsidRPr="00F64509">
        <w:rPr>
          <w:rFonts w:asciiTheme="majorBidi" w:eastAsia="Times New Roman" w:hAnsiTheme="majorBidi" w:cstheme="majorBidi"/>
          <w:sz w:val="24"/>
          <w:szCs w:val="24"/>
          <w:lang w:val="en-GB" w:eastAsia="en-GB"/>
        </w:rPr>
        <w:t xml:space="preserve"> lies in philosophers</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insistence that the assurance </w:t>
      </w:r>
      <w:r w:rsidR="001B2FAD" w:rsidRPr="00F64509">
        <w:rPr>
          <w:rFonts w:asciiTheme="majorBidi" w:eastAsia="Times New Roman" w:hAnsiTheme="majorBidi" w:cstheme="majorBidi"/>
          <w:sz w:val="24"/>
          <w:szCs w:val="24"/>
          <w:lang w:val="en-GB" w:eastAsia="en-GB"/>
        </w:rPr>
        <w:t xml:space="preserve">which </w:t>
      </w:r>
      <w:r w:rsidRPr="00F64509">
        <w:rPr>
          <w:rFonts w:asciiTheme="majorBidi" w:eastAsia="Times New Roman" w:hAnsiTheme="majorBidi" w:cstheme="majorBidi"/>
          <w:sz w:val="24"/>
          <w:szCs w:val="24"/>
          <w:lang w:val="en-GB" w:eastAsia="en-GB"/>
        </w:rPr>
        <w:t xml:space="preserve">underpins our knowledge is itself a knowledge or as Michael Williams puts it, that </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[k]nowledge ... emerges out of prior knowledge</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(2001, 176).</w:t>
      </w:r>
      <w:r w:rsidR="00C120E9" w:rsidRPr="00F64509">
        <w:rPr>
          <w:rFonts w:asciiTheme="majorBidi" w:eastAsia="Times New Roman" w:hAnsiTheme="majorBidi" w:cstheme="majorBidi"/>
          <w:sz w:val="24"/>
          <w:szCs w:val="24"/>
          <w:lang w:val="en-GB" w:eastAsia="en-GB"/>
        </w:rPr>
        <w:t xml:space="preserve"> Wittgenstein takes Moore to task for confusing knowledge with the nonepistemic brand of conviction that logically underlies it, and he drives a category wedge between them:</w:t>
      </w:r>
      <w:r w:rsidR="00005D2D" w:rsidRPr="00F64509">
        <w:rPr>
          <w:rFonts w:asciiTheme="majorBidi" w:eastAsia="Times New Roman" w:hAnsiTheme="majorBidi" w:cstheme="majorBidi"/>
          <w:sz w:val="24"/>
          <w:szCs w:val="24"/>
          <w:lang w:val="en-GB" w:eastAsia="en-GB"/>
        </w:rPr>
        <w:t xml:space="preserve"> </w:t>
      </w:r>
      <w:r w:rsidR="00B53A7E" w:rsidRPr="00F64509">
        <w:rPr>
          <w:rFonts w:asciiTheme="majorBidi" w:eastAsia="Times New Roman" w:hAnsiTheme="majorBidi" w:cstheme="majorBidi"/>
          <w:sz w:val="24"/>
          <w:szCs w:val="24"/>
          <w:lang w:val="en-GB" w:eastAsia="en-GB"/>
        </w:rPr>
        <w:t>“‘</w:t>
      </w:r>
      <w:r w:rsidR="00C120E9" w:rsidRPr="00F64509">
        <w:rPr>
          <w:rFonts w:asciiTheme="majorBidi" w:eastAsia="Times New Roman" w:hAnsiTheme="majorBidi" w:cstheme="majorBidi"/>
          <w:sz w:val="24"/>
          <w:szCs w:val="24"/>
          <w:lang w:val="en-GB" w:eastAsia="en-GB"/>
        </w:rPr>
        <w:t>Knowledge</w:t>
      </w:r>
      <w:r w:rsidR="00B53A7E" w:rsidRPr="00F64509">
        <w:rPr>
          <w:rFonts w:asciiTheme="majorBidi" w:eastAsia="Times New Roman" w:hAnsiTheme="majorBidi" w:cstheme="majorBidi"/>
          <w:sz w:val="24"/>
          <w:szCs w:val="24"/>
          <w:lang w:val="en-GB" w:eastAsia="en-GB"/>
        </w:rPr>
        <w:t xml:space="preserve">’ </w:t>
      </w:r>
      <w:r w:rsidR="00C120E9" w:rsidRPr="00F64509">
        <w:rPr>
          <w:rFonts w:asciiTheme="majorBidi" w:eastAsia="Times New Roman" w:hAnsiTheme="majorBidi" w:cstheme="majorBidi"/>
          <w:sz w:val="24"/>
          <w:szCs w:val="24"/>
          <w:lang w:val="en-GB" w:eastAsia="en-GB"/>
        </w:rPr>
        <w:t xml:space="preserve">and </w:t>
      </w:r>
      <w:r w:rsidR="00B53A7E" w:rsidRPr="00F64509">
        <w:rPr>
          <w:rFonts w:asciiTheme="majorBidi" w:eastAsia="Times New Roman" w:hAnsiTheme="majorBidi" w:cstheme="majorBidi"/>
          <w:sz w:val="24"/>
          <w:szCs w:val="24"/>
          <w:lang w:val="en-GB" w:eastAsia="en-GB"/>
        </w:rPr>
        <w:t>‘</w:t>
      </w:r>
      <w:r w:rsidR="00C120E9" w:rsidRPr="00F64509">
        <w:rPr>
          <w:rFonts w:asciiTheme="majorBidi" w:eastAsia="Times New Roman" w:hAnsiTheme="majorBidi" w:cstheme="majorBidi"/>
          <w:sz w:val="24"/>
          <w:szCs w:val="24"/>
          <w:lang w:val="en-GB" w:eastAsia="en-GB"/>
        </w:rPr>
        <w:t>certainty</w:t>
      </w:r>
      <w:r w:rsidR="00B53A7E" w:rsidRPr="00F64509">
        <w:rPr>
          <w:rFonts w:asciiTheme="majorBidi" w:eastAsia="Times New Roman" w:hAnsiTheme="majorBidi" w:cstheme="majorBidi"/>
          <w:sz w:val="24"/>
          <w:szCs w:val="24"/>
          <w:lang w:val="en-GB" w:eastAsia="en-GB"/>
        </w:rPr>
        <w:t>’</w:t>
      </w:r>
      <w:r w:rsidR="00C120E9" w:rsidRPr="00F64509">
        <w:rPr>
          <w:rFonts w:asciiTheme="majorBidi" w:eastAsia="Times New Roman" w:hAnsiTheme="majorBidi" w:cstheme="majorBidi"/>
          <w:sz w:val="24"/>
          <w:szCs w:val="24"/>
          <w:lang w:val="en-GB" w:eastAsia="en-GB"/>
        </w:rPr>
        <w:t xml:space="preserve"> belong to different </w:t>
      </w:r>
      <w:r w:rsidR="00C120E9" w:rsidRPr="00F64509">
        <w:rPr>
          <w:rFonts w:asciiTheme="majorBidi" w:eastAsia="Times New Roman" w:hAnsiTheme="majorBidi" w:cstheme="majorBidi"/>
          <w:i/>
          <w:sz w:val="24"/>
          <w:szCs w:val="24"/>
          <w:lang w:val="en-GB" w:eastAsia="en-GB"/>
        </w:rPr>
        <w:t>categories</w:t>
      </w:r>
      <w:r w:rsidR="00B53A7E" w:rsidRPr="00F64509">
        <w:rPr>
          <w:rFonts w:asciiTheme="majorBidi" w:eastAsia="Times New Roman" w:hAnsiTheme="majorBidi" w:cstheme="majorBidi"/>
          <w:sz w:val="24"/>
          <w:szCs w:val="24"/>
          <w:lang w:val="en-GB" w:eastAsia="en-GB"/>
        </w:rPr>
        <w:t>”</w:t>
      </w:r>
      <w:r w:rsidR="00C120E9" w:rsidRPr="00F64509">
        <w:rPr>
          <w:rFonts w:asciiTheme="majorBidi" w:eastAsia="Times New Roman" w:hAnsiTheme="majorBidi" w:cstheme="majorBidi"/>
          <w:sz w:val="24"/>
          <w:szCs w:val="24"/>
          <w:lang w:val="en-GB" w:eastAsia="en-GB"/>
        </w:rPr>
        <w:t xml:space="preserve"> (OC 308).</w:t>
      </w:r>
    </w:p>
    <w:p w14:paraId="35F9A7D7" w14:textId="0D14D1B5" w:rsidR="006764DC" w:rsidRPr="00F64509" w:rsidRDefault="00BE7B5B" w:rsidP="00F64509">
      <w:pPr>
        <w:spacing w:line="480" w:lineRule="auto"/>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kern w:val="32"/>
          <w:sz w:val="24"/>
          <w:szCs w:val="24"/>
          <w:lang w:val="en-GB" w:eastAsia="en-GB"/>
        </w:rPr>
        <w:t xml:space="preserve">Failing a universally agreed definition of knowledge, let us settle for the one with the longest lifespan and broadest acceptance in philosophy: knowledge as justified true belief. The first thing </w:t>
      </w:r>
      <w:r w:rsidR="006764DC" w:rsidRPr="00F64509">
        <w:rPr>
          <w:rFonts w:asciiTheme="majorBidi" w:eastAsia="Times New Roman" w:hAnsiTheme="majorBidi" w:cstheme="majorBidi"/>
          <w:kern w:val="32"/>
          <w:sz w:val="24"/>
          <w:szCs w:val="24"/>
          <w:lang w:val="en-GB" w:eastAsia="en-GB"/>
        </w:rPr>
        <w:t>to note</w:t>
      </w:r>
      <w:r w:rsidRPr="00F64509">
        <w:rPr>
          <w:rFonts w:asciiTheme="majorBidi" w:eastAsia="Times New Roman" w:hAnsiTheme="majorBidi" w:cstheme="majorBidi"/>
          <w:kern w:val="32"/>
          <w:sz w:val="24"/>
          <w:szCs w:val="24"/>
          <w:lang w:val="en-GB" w:eastAsia="en-GB"/>
        </w:rPr>
        <w:t xml:space="preserve"> is that if knowledge requires justification, knowledge cannot be our basic assurance. If we’re not to endlessly seek justification, there must be some </w:t>
      </w:r>
      <w:r w:rsidRPr="00F64509">
        <w:rPr>
          <w:rFonts w:asciiTheme="majorBidi" w:eastAsia="Times New Roman" w:hAnsiTheme="majorBidi" w:cstheme="majorBidi"/>
          <w:i/>
          <w:iCs/>
          <w:kern w:val="32"/>
          <w:sz w:val="24"/>
          <w:szCs w:val="24"/>
          <w:lang w:val="en-GB" w:eastAsia="en-GB"/>
        </w:rPr>
        <w:t>basic</w:t>
      </w:r>
      <w:r w:rsidRPr="00F64509">
        <w:rPr>
          <w:rFonts w:asciiTheme="majorBidi" w:eastAsia="Times New Roman" w:hAnsiTheme="majorBidi" w:cstheme="majorBidi"/>
          <w:kern w:val="32"/>
          <w:sz w:val="24"/>
          <w:szCs w:val="24"/>
          <w:lang w:val="en-GB" w:eastAsia="en-GB"/>
        </w:rPr>
        <w:t xml:space="preserve"> beliefs – such as that </w:t>
      </w:r>
      <w:r w:rsidR="00ED55DB" w:rsidRPr="00F64509">
        <w:rPr>
          <w:rFonts w:asciiTheme="majorBidi" w:eastAsia="Times New Roman" w:hAnsiTheme="majorBidi" w:cstheme="majorBidi"/>
          <w:kern w:val="32"/>
          <w:sz w:val="24"/>
          <w:szCs w:val="24"/>
          <w:lang w:val="en-GB" w:eastAsia="en-GB"/>
        </w:rPr>
        <w:t>one is</w:t>
      </w:r>
      <w:r w:rsidRPr="00F64509">
        <w:rPr>
          <w:rFonts w:asciiTheme="majorBidi" w:eastAsia="Times New Roman" w:hAnsiTheme="majorBidi" w:cstheme="majorBidi"/>
          <w:kern w:val="32"/>
          <w:sz w:val="24"/>
          <w:szCs w:val="24"/>
          <w:lang w:val="en-GB" w:eastAsia="en-GB"/>
        </w:rPr>
        <w:t xml:space="preserve"> sitting at </w:t>
      </w:r>
      <w:r w:rsidR="00ED55DB" w:rsidRPr="00F64509">
        <w:rPr>
          <w:rFonts w:asciiTheme="majorBidi" w:eastAsia="Times New Roman" w:hAnsiTheme="majorBidi" w:cstheme="majorBidi"/>
          <w:kern w:val="32"/>
          <w:sz w:val="24"/>
          <w:szCs w:val="24"/>
          <w:lang w:val="en-GB" w:eastAsia="en-GB"/>
        </w:rPr>
        <w:t xml:space="preserve">one’s </w:t>
      </w:r>
      <w:r w:rsidRPr="00F64509">
        <w:rPr>
          <w:rFonts w:asciiTheme="majorBidi" w:eastAsia="Times New Roman" w:hAnsiTheme="majorBidi" w:cstheme="majorBidi"/>
          <w:kern w:val="32"/>
          <w:sz w:val="24"/>
          <w:szCs w:val="24"/>
          <w:lang w:val="en-GB" w:eastAsia="en-GB"/>
        </w:rPr>
        <w:t xml:space="preserve">desk typing </w:t>
      </w:r>
      <w:r w:rsidR="00ED55DB" w:rsidRPr="00F64509">
        <w:rPr>
          <w:rFonts w:asciiTheme="majorBidi" w:eastAsia="Times New Roman" w:hAnsiTheme="majorBidi" w:cstheme="majorBidi"/>
          <w:kern w:val="32"/>
          <w:sz w:val="24"/>
          <w:szCs w:val="24"/>
          <w:lang w:val="en-GB" w:eastAsia="en-GB"/>
        </w:rPr>
        <w:t xml:space="preserve">or reading </w:t>
      </w:r>
      <w:r w:rsidRPr="00F64509">
        <w:rPr>
          <w:rFonts w:asciiTheme="majorBidi" w:eastAsia="Times New Roman" w:hAnsiTheme="majorBidi" w:cstheme="majorBidi"/>
          <w:kern w:val="32"/>
          <w:sz w:val="24"/>
          <w:szCs w:val="24"/>
          <w:lang w:val="en-GB" w:eastAsia="en-GB"/>
        </w:rPr>
        <w:t xml:space="preserve">these words, that the world exists – </w:t>
      </w:r>
      <w:r w:rsidR="00D57357" w:rsidRPr="00F64509">
        <w:rPr>
          <w:rFonts w:asciiTheme="majorBidi" w:eastAsia="Times New Roman" w:hAnsiTheme="majorBidi" w:cstheme="majorBidi"/>
          <w:kern w:val="32"/>
          <w:sz w:val="24"/>
          <w:szCs w:val="24"/>
          <w:lang w:val="en-GB" w:eastAsia="en-GB"/>
        </w:rPr>
        <w:t>that</w:t>
      </w:r>
      <w:r w:rsidRPr="00F64509">
        <w:rPr>
          <w:rFonts w:asciiTheme="majorBidi" w:eastAsia="Times New Roman" w:hAnsiTheme="majorBidi" w:cstheme="majorBidi"/>
          <w:kern w:val="32"/>
          <w:sz w:val="24"/>
          <w:szCs w:val="24"/>
          <w:lang w:val="en-GB" w:eastAsia="en-GB"/>
        </w:rPr>
        <w:t xml:space="preserve"> are not open to doubt</w:t>
      </w:r>
      <w:r w:rsidR="00D57357" w:rsidRPr="00F64509">
        <w:rPr>
          <w:rFonts w:asciiTheme="majorBidi" w:eastAsia="Times New Roman" w:hAnsiTheme="majorBidi" w:cstheme="majorBidi"/>
          <w:kern w:val="32"/>
          <w:sz w:val="24"/>
          <w:szCs w:val="24"/>
          <w:lang w:val="en-GB" w:eastAsia="en-GB"/>
        </w:rPr>
        <w:t xml:space="preserve"> and therefore not susceptible of justification</w:t>
      </w:r>
      <w:r w:rsidRPr="00F64509">
        <w:rPr>
          <w:rFonts w:asciiTheme="majorBidi" w:eastAsia="Times New Roman" w:hAnsiTheme="majorBidi" w:cstheme="majorBidi"/>
          <w:kern w:val="32"/>
          <w:sz w:val="24"/>
          <w:szCs w:val="24"/>
          <w:lang w:val="en-GB" w:eastAsia="en-GB"/>
        </w:rPr>
        <w:t xml:space="preserve">. </w:t>
      </w:r>
      <w:r w:rsidR="000A7195" w:rsidRPr="00F64509">
        <w:rPr>
          <w:rFonts w:asciiTheme="majorBidi" w:eastAsia="Times New Roman" w:hAnsiTheme="majorBidi" w:cstheme="majorBidi"/>
          <w:kern w:val="32"/>
          <w:sz w:val="24"/>
          <w:szCs w:val="24"/>
          <w:lang w:val="en-GB" w:eastAsia="en-GB"/>
        </w:rPr>
        <w:t>F</w:t>
      </w:r>
      <w:r w:rsidR="006764DC" w:rsidRPr="00F64509">
        <w:rPr>
          <w:rFonts w:asciiTheme="majorBidi" w:eastAsia="Times New Roman" w:hAnsiTheme="majorBidi" w:cstheme="majorBidi"/>
          <w:kern w:val="32"/>
          <w:sz w:val="24"/>
          <w:szCs w:val="24"/>
          <w:lang w:val="en-GB" w:eastAsia="en-GB"/>
        </w:rPr>
        <w:t>ollowing an oft quoted passage,</w:t>
      </w:r>
      <w:r w:rsidR="00D57357" w:rsidRPr="00F64509">
        <w:rPr>
          <w:rFonts w:asciiTheme="majorBidi" w:eastAsia="Times New Roman" w:hAnsiTheme="majorBidi" w:cstheme="majorBidi"/>
          <w:kern w:val="32"/>
          <w:sz w:val="24"/>
          <w:szCs w:val="24"/>
          <w:lang w:val="en-GB" w:eastAsia="en-GB"/>
        </w:rPr>
        <w:t xml:space="preserve"> </w:t>
      </w:r>
      <w:r w:rsidR="00E139B6" w:rsidRPr="00F64509">
        <w:rPr>
          <w:rFonts w:asciiTheme="majorBidi" w:eastAsia="Times New Roman" w:hAnsiTheme="majorBidi" w:cstheme="majorBidi"/>
          <w:kern w:val="32"/>
          <w:sz w:val="24"/>
          <w:szCs w:val="24"/>
          <w:lang w:val="en-GB" w:eastAsia="en-GB"/>
        </w:rPr>
        <w:t>Moyal-Sharrock</w:t>
      </w:r>
      <w:r w:rsidR="002E5AC3" w:rsidRPr="00F64509">
        <w:rPr>
          <w:rFonts w:asciiTheme="majorBidi" w:eastAsia="Times New Roman" w:hAnsiTheme="majorBidi" w:cstheme="majorBidi"/>
          <w:kern w:val="32"/>
          <w:sz w:val="24"/>
          <w:szCs w:val="24"/>
          <w:lang w:val="en-GB" w:eastAsia="en-GB"/>
        </w:rPr>
        <w:t xml:space="preserve"> </w:t>
      </w:r>
      <w:r w:rsidR="000A7195" w:rsidRPr="00F64509">
        <w:rPr>
          <w:rFonts w:asciiTheme="majorBidi" w:eastAsia="Times New Roman" w:hAnsiTheme="majorBidi" w:cstheme="majorBidi"/>
          <w:kern w:val="32"/>
          <w:sz w:val="24"/>
          <w:szCs w:val="24"/>
          <w:lang w:val="en-GB" w:eastAsia="en-GB"/>
        </w:rPr>
        <w:t>refer</w:t>
      </w:r>
      <w:r w:rsidR="00E139B6" w:rsidRPr="00F64509">
        <w:rPr>
          <w:rFonts w:asciiTheme="majorBidi" w:eastAsia="Times New Roman" w:hAnsiTheme="majorBidi" w:cstheme="majorBidi"/>
          <w:kern w:val="32"/>
          <w:sz w:val="24"/>
          <w:szCs w:val="24"/>
          <w:lang w:val="en-GB" w:eastAsia="en-GB"/>
        </w:rPr>
        <w:t>s</w:t>
      </w:r>
      <w:r w:rsidR="000A7195" w:rsidRPr="00F64509">
        <w:rPr>
          <w:rFonts w:asciiTheme="majorBidi" w:eastAsia="Times New Roman" w:hAnsiTheme="majorBidi" w:cstheme="majorBidi"/>
          <w:kern w:val="32"/>
          <w:sz w:val="24"/>
          <w:szCs w:val="24"/>
          <w:lang w:val="en-GB" w:eastAsia="en-GB"/>
        </w:rPr>
        <w:t xml:space="preserve"> to basic beliefs</w:t>
      </w:r>
      <w:r w:rsidRPr="00F64509">
        <w:rPr>
          <w:rFonts w:asciiTheme="majorBidi" w:eastAsia="Times New Roman" w:hAnsiTheme="majorBidi" w:cstheme="majorBidi"/>
          <w:kern w:val="32"/>
          <w:sz w:val="24"/>
          <w:szCs w:val="24"/>
          <w:lang w:val="en-GB" w:eastAsia="en-GB"/>
        </w:rPr>
        <w:t xml:space="preserve"> </w:t>
      </w:r>
      <w:r w:rsidR="000A7195" w:rsidRPr="00F64509">
        <w:rPr>
          <w:rFonts w:asciiTheme="majorBidi" w:eastAsia="Times New Roman" w:hAnsiTheme="majorBidi" w:cstheme="majorBidi"/>
          <w:kern w:val="32"/>
          <w:sz w:val="24"/>
          <w:szCs w:val="24"/>
          <w:lang w:val="en-GB" w:eastAsia="en-GB"/>
        </w:rPr>
        <w:t xml:space="preserve">as </w:t>
      </w:r>
      <w:r w:rsidR="00ED55DB"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hinge certainties</w:t>
      </w:r>
      <w:r w:rsidR="00ED55DB" w:rsidRPr="00F64509">
        <w:rPr>
          <w:rFonts w:asciiTheme="majorBidi" w:eastAsia="Times New Roman" w:hAnsiTheme="majorBidi" w:cstheme="majorBidi"/>
          <w:kern w:val="32"/>
          <w:sz w:val="24"/>
          <w:szCs w:val="24"/>
          <w:lang w:val="en-GB" w:eastAsia="en-GB"/>
        </w:rPr>
        <w:t>”</w:t>
      </w:r>
      <w:r w:rsidR="00005351" w:rsidRPr="00F64509">
        <w:rPr>
          <w:rFonts w:asciiTheme="majorBidi" w:eastAsia="Times New Roman" w:hAnsiTheme="majorBidi" w:cstheme="majorBidi"/>
          <w:kern w:val="32"/>
          <w:sz w:val="24"/>
          <w:szCs w:val="24"/>
          <w:lang w:val="en-GB" w:eastAsia="en-GB"/>
        </w:rPr>
        <w:t xml:space="preserve"> (or simply </w:t>
      </w:r>
      <w:r w:rsidR="00ED55DB" w:rsidRPr="00F64509">
        <w:rPr>
          <w:rFonts w:asciiTheme="majorBidi" w:eastAsia="Times New Roman" w:hAnsiTheme="majorBidi" w:cstheme="majorBidi"/>
          <w:kern w:val="32"/>
          <w:sz w:val="24"/>
          <w:szCs w:val="24"/>
          <w:lang w:val="en-GB" w:eastAsia="en-GB"/>
        </w:rPr>
        <w:t>“</w:t>
      </w:r>
      <w:r w:rsidR="00005351" w:rsidRPr="00F64509">
        <w:rPr>
          <w:rFonts w:asciiTheme="majorBidi" w:eastAsia="Times New Roman" w:hAnsiTheme="majorBidi" w:cstheme="majorBidi"/>
          <w:kern w:val="32"/>
          <w:sz w:val="24"/>
          <w:szCs w:val="24"/>
          <w:lang w:val="en-GB" w:eastAsia="en-GB"/>
        </w:rPr>
        <w:t>hinges</w:t>
      </w:r>
      <w:r w:rsidR="00ED55DB" w:rsidRPr="00F64509">
        <w:rPr>
          <w:rFonts w:asciiTheme="majorBidi" w:eastAsia="Times New Roman" w:hAnsiTheme="majorBidi" w:cstheme="majorBidi"/>
          <w:kern w:val="32"/>
          <w:sz w:val="24"/>
          <w:szCs w:val="24"/>
          <w:lang w:val="en-GB" w:eastAsia="en-GB"/>
        </w:rPr>
        <w:t>”</w:t>
      </w:r>
      <w:r w:rsidR="00005351"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w:t>
      </w:r>
      <w:r w:rsidR="00ED55DB"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the </w:t>
      </w:r>
      <w:r w:rsidRPr="00F64509">
        <w:rPr>
          <w:rFonts w:asciiTheme="majorBidi" w:eastAsia="Times New Roman" w:hAnsiTheme="majorBidi" w:cstheme="majorBidi"/>
          <w:i/>
          <w:iCs/>
          <w:kern w:val="32"/>
          <w:sz w:val="24"/>
          <w:szCs w:val="24"/>
          <w:lang w:val="en-GB" w:eastAsia="en-GB"/>
        </w:rPr>
        <w:t>questions</w:t>
      </w:r>
      <w:r w:rsidRPr="00F64509">
        <w:rPr>
          <w:rFonts w:asciiTheme="majorBidi" w:eastAsia="Times New Roman" w:hAnsiTheme="majorBidi" w:cstheme="majorBidi"/>
          <w:kern w:val="32"/>
          <w:sz w:val="24"/>
          <w:szCs w:val="24"/>
          <w:lang w:val="en-GB" w:eastAsia="en-GB"/>
        </w:rPr>
        <w:t xml:space="preserve"> that we raise and our </w:t>
      </w:r>
      <w:r w:rsidRPr="00F64509">
        <w:rPr>
          <w:rFonts w:asciiTheme="majorBidi" w:eastAsia="Times New Roman" w:hAnsiTheme="majorBidi" w:cstheme="majorBidi"/>
          <w:i/>
          <w:iCs/>
          <w:kern w:val="32"/>
          <w:sz w:val="24"/>
          <w:szCs w:val="24"/>
          <w:lang w:val="en-GB" w:eastAsia="en-GB"/>
        </w:rPr>
        <w:t>doubts</w:t>
      </w:r>
      <w:r w:rsidRPr="00F64509">
        <w:rPr>
          <w:rFonts w:asciiTheme="majorBidi" w:eastAsia="Times New Roman" w:hAnsiTheme="majorBidi" w:cstheme="majorBidi"/>
          <w:kern w:val="32"/>
          <w:sz w:val="24"/>
          <w:szCs w:val="24"/>
          <w:lang w:val="en-GB" w:eastAsia="en-GB"/>
        </w:rPr>
        <w:t xml:space="preserve"> depend on the fact that some propositions [</w:t>
      </w:r>
      <w:r w:rsidRPr="00F64509">
        <w:rPr>
          <w:rFonts w:asciiTheme="majorBidi" w:eastAsia="Times New Roman" w:hAnsiTheme="majorBidi" w:cstheme="majorBidi"/>
          <w:i/>
          <w:iCs/>
          <w:kern w:val="32"/>
          <w:sz w:val="24"/>
          <w:szCs w:val="24"/>
          <w:lang w:val="en-GB" w:eastAsia="en-GB"/>
        </w:rPr>
        <w:t>Sätze</w:t>
      </w:r>
      <w:r w:rsidRPr="00F64509">
        <w:rPr>
          <w:rFonts w:asciiTheme="majorBidi" w:eastAsia="Times New Roman" w:hAnsiTheme="majorBidi" w:cstheme="majorBidi"/>
          <w:kern w:val="32"/>
          <w:sz w:val="24"/>
          <w:szCs w:val="24"/>
          <w:lang w:val="en-GB" w:eastAsia="en-GB"/>
        </w:rPr>
        <w:t>] are exempt from doubt, are as it were like hinges on which those turn</w:t>
      </w:r>
      <w:r w:rsidR="00ED55DB" w:rsidRPr="00F64509">
        <w:rPr>
          <w:rFonts w:asciiTheme="majorBidi" w:eastAsia="Times New Roman" w:hAnsiTheme="majorBidi" w:cstheme="majorBidi"/>
          <w:kern w:val="32"/>
          <w:sz w:val="24"/>
          <w:szCs w:val="24"/>
          <w:lang w:val="en-GB" w:eastAsia="en-GB"/>
        </w:rPr>
        <w:t>”</w:t>
      </w:r>
      <w:r w:rsidRPr="00F64509">
        <w:rPr>
          <w:rFonts w:asciiTheme="majorBidi" w:eastAsia="Times New Roman" w:hAnsiTheme="majorBidi" w:cstheme="majorBidi"/>
          <w:kern w:val="32"/>
          <w:sz w:val="24"/>
          <w:szCs w:val="24"/>
          <w:lang w:val="en-GB" w:eastAsia="en-GB"/>
        </w:rPr>
        <w:t xml:space="preserve"> (OC 341).</w:t>
      </w:r>
      <w:r w:rsidR="00C120E9" w:rsidRPr="00F64509">
        <w:rPr>
          <w:rFonts w:asciiTheme="majorBidi" w:eastAsia="Times New Roman" w:hAnsiTheme="majorBidi" w:cstheme="majorBidi"/>
          <w:sz w:val="24"/>
          <w:szCs w:val="24"/>
          <w:lang w:val="en-GB" w:eastAsia="en-GB"/>
        </w:rPr>
        <w:t xml:space="preserve"> </w:t>
      </w:r>
    </w:p>
    <w:p w14:paraId="4E97ED5A" w14:textId="72BDCD1D" w:rsidR="00E92AA8" w:rsidRPr="00F64509" w:rsidRDefault="00C120E9" w:rsidP="00F64509">
      <w:pPr>
        <w:spacing w:line="480" w:lineRule="auto"/>
        <w:jc w:val="both"/>
        <w:rPr>
          <w:rFonts w:asciiTheme="majorBidi" w:eastAsia="Times New Roman" w:hAnsiTheme="majorBidi" w:cstheme="majorBidi"/>
          <w:kern w:val="32"/>
          <w:sz w:val="24"/>
          <w:szCs w:val="24"/>
          <w:lang w:val="en-GB" w:eastAsia="en-GB"/>
        </w:rPr>
      </w:pPr>
      <w:r w:rsidRPr="00F64509">
        <w:rPr>
          <w:rFonts w:asciiTheme="majorBidi" w:eastAsia="Times New Roman" w:hAnsiTheme="majorBidi" w:cstheme="majorBidi"/>
          <w:sz w:val="24"/>
          <w:szCs w:val="24"/>
          <w:lang w:val="en-GB" w:eastAsia="en-GB"/>
        </w:rPr>
        <w:t xml:space="preserve">The nonepistemic nature of </w:t>
      </w:r>
      <w:r w:rsidR="00E139B6" w:rsidRPr="00F64509">
        <w:rPr>
          <w:rFonts w:asciiTheme="majorBidi" w:eastAsia="Times New Roman" w:hAnsiTheme="majorBidi" w:cstheme="majorBidi"/>
          <w:sz w:val="24"/>
          <w:szCs w:val="24"/>
          <w:lang w:val="en-GB" w:eastAsia="en-GB"/>
        </w:rPr>
        <w:t>hinge</w:t>
      </w:r>
      <w:r w:rsidRPr="00F64509">
        <w:rPr>
          <w:rFonts w:asciiTheme="majorBidi" w:eastAsia="Times New Roman" w:hAnsiTheme="majorBidi" w:cstheme="majorBidi"/>
          <w:sz w:val="24"/>
          <w:szCs w:val="24"/>
          <w:lang w:val="en-GB" w:eastAsia="en-GB"/>
        </w:rPr>
        <w:t xml:space="preserve"> certainties is guaranteed by the logical impossibility of justification and verification as regards our assurance of them: </w:t>
      </w:r>
      <w:r w:rsidR="00005D2D"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The difficulty is to realize the groundlessness of our </w:t>
      </w:r>
      <w:r w:rsidR="00005D2D" w:rsidRPr="00F64509">
        <w:rPr>
          <w:rFonts w:asciiTheme="majorBidi" w:eastAsia="Times New Roman" w:hAnsiTheme="majorBidi" w:cstheme="majorBidi"/>
          <w:sz w:val="24"/>
          <w:szCs w:val="24"/>
          <w:lang w:val="en-GB" w:eastAsia="en-GB"/>
        </w:rPr>
        <w:t xml:space="preserve">believing” </w:t>
      </w:r>
      <w:r w:rsidRPr="00F64509">
        <w:rPr>
          <w:rFonts w:asciiTheme="majorBidi" w:eastAsia="Times New Roman" w:hAnsiTheme="majorBidi" w:cstheme="majorBidi"/>
          <w:sz w:val="24"/>
          <w:szCs w:val="24"/>
          <w:lang w:val="en-GB" w:eastAsia="en-GB"/>
        </w:rPr>
        <w:t>(OC 166).</w:t>
      </w:r>
      <w:r w:rsidR="006764DC" w:rsidRPr="00F64509">
        <w:rPr>
          <w:rFonts w:asciiTheme="majorBidi" w:eastAsia="Times New Roman" w:hAnsiTheme="majorBidi" w:cstheme="majorBidi"/>
          <w:kern w:val="32"/>
          <w:sz w:val="24"/>
          <w:szCs w:val="24"/>
          <w:lang w:val="en-GB" w:eastAsia="en-GB"/>
        </w:rPr>
        <w:t xml:space="preserve"> </w:t>
      </w:r>
      <w:r w:rsidR="00AC49F0" w:rsidRPr="00F64509">
        <w:rPr>
          <w:rFonts w:asciiTheme="majorBidi" w:eastAsia="Times New Roman" w:hAnsiTheme="majorBidi" w:cstheme="majorBidi"/>
          <w:sz w:val="24"/>
          <w:szCs w:val="24"/>
          <w:lang w:val="en-GB" w:eastAsia="en-GB"/>
        </w:rPr>
        <w:t>And i</w:t>
      </w:r>
      <w:r w:rsidR="00E92AA8" w:rsidRPr="00F64509">
        <w:rPr>
          <w:rFonts w:asciiTheme="majorBidi" w:eastAsia="Times New Roman" w:hAnsiTheme="majorBidi" w:cstheme="majorBidi"/>
          <w:sz w:val="24"/>
          <w:szCs w:val="24"/>
          <w:lang w:val="en-GB" w:eastAsia="en-GB"/>
        </w:rPr>
        <w:t>f our basic certainties are not arrived at by reasoning</w:t>
      </w:r>
      <w:r w:rsidR="00E92AA8" w:rsidRPr="00F64509">
        <w:rPr>
          <w:rFonts w:asciiTheme="majorBidi" w:eastAsia="Times New Roman" w:hAnsiTheme="majorBidi" w:cstheme="majorBidi"/>
          <w:color w:val="FF0000"/>
          <w:sz w:val="24"/>
          <w:szCs w:val="24"/>
          <w:lang w:val="en-GB" w:eastAsia="en-GB"/>
        </w:rPr>
        <w:t xml:space="preserve"> </w:t>
      </w:r>
      <w:r w:rsidR="00E92AA8" w:rsidRPr="00F64509">
        <w:rPr>
          <w:rFonts w:asciiTheme="majorBidi" w:eastAsia="Times New Roman" w:hAnsiTheme="majorBidi" w:cstheme="majorBidi"/>
          <w:sz w:val="24"/>
          <w:szCs w:val="24"/>
          <w:lang w:val="en-GB" w:eastAsia="en-GB"/>
        </w:rPr>
        <w:t xml:space="preserve">or justification, nor are they arrived at by induction: </w:t>
      </w:r>
    </w:p>
    <w:p w14:paraId="35797C7F" w14:textId="77777777" w:rsidR="00E92AA8" w:rsidRPr="00F64509" w:rsidRDefault="00E92AA8" w:rsidP="00F64509">
      <w:pPr>
        <w:spacing w:line="480" w:lineRule="auto"/>
        <w:ind w:left="820" w:right="940" w:firstLine="300"/>
        <w:jc w:val="both"/>
        <w:rPr>
          <w:rFonts w:asciiTheme="majorBidi" w:eastAsia="Times New Roman" w:hAnsiTheme="majorBidi" w:cstheme="majorBidi"/>
          <w:sz w:val="24"/>
          <w:szCs w:val="24"/>
          <w:lang w:val="en-GB" w:eastAsia="en-GB"/>
        </w:rPr>
      </w:pPr>
    </w:p>
    <w:p w14:paraId="6351D386" w14:textId="2980F1B5" w:rsidR="00E92AA8" w:rsidRPr="00F64509" w:rsidRDefault="00E92AA8" w:rsidP="00104E28">
      <w:pPr>
        <w:spacing w:line="480" w:lineRule="auto"/>
        <w:ind w:left="820" w:right="940"/>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t>The squirrel does not infer by induction that it is going to need stores next winter as well. And no more do we need a law of induction to justify our actions or our predictions. (OC 87)</w:t>
      </w:r>
    </w:p>
    <w:p w14:paraId="0667EB43" w14:textId="70506BF0" w:rsidR="006764DC" w:rsidRPr="00F64509" w:rsidRDefault="00E92AA8" w:rsidP="00F64509">
      <w:pPr>
        <w:spacing w:line="480" w:lineRule="auto"/>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t>Of course, it is the case that many natural phenomena are reliable – e.g., that human beings are born and die, that fire will burn us and that mountains don</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t sprout up in </w:t>
      </w:r>
      <w:r w:rsidR="00E6505D" w:rsidRPr="00F64509">
        <w:rPr>
          <w:rFonts w:asciiTheme="majorBidi" w:eastAsia="Times New Roman" w:hAnsiTheme="majorBidi" w:cstheme="majorBidi"/>
          <w:sz w:val="24"/>
          <w:szCs w:val="24"/>
          <w:lang w:val="en-GB" w:eastAsia="en-GB"/>
        </w:rPr>
        <w:t>a day</w:t>
      </w:r>
      <w:r w:rsidRPr="00F64509">
        <w:rPr>
          <w:rFonts w:asciiTheme="majorBidi" w:eastAsia="Times New Roman" w:hAnsiTheme="majorBidi" w:cstheme="majorBidi"/>
          <w:sz w:val="24"/>
          <w:szCs w:val="24"/>
          <w:lang w:val="en-GB" w:eastAsia="en-GB"/>
        </w:rPr>
        <w:t xml:space="preserve">. On an empirical reading, such basic certainties are </w:t>
      </w:r>
      <w:r w:rsidRPr="00F64509">
        <w:rPr>
          <w:rFonts w:asciiTheme="majorBidi" w:eastAsia="Times New Roman" w:hAnsiTheme="majorBidi" w:cstheme="majorBidi"/>
          <w:i/>
          <w:iCs/>
          <w:sz w:val="24"/>
          <w:szCs w:val="24"/>
          <w:lang w:val="en-GB" w:eastAsia="en-GB"/>
        </w:rPr>
        <w:t>rational conclusions</w:t>
      </w:r>
      <w:r w:rsidRPr="00F64509">
        <w:rPr>
          <w:rFonts w:asciiTheme="majorBidi" w:eastAsia="Times New Roman" w:hAnsiTheme="majorBidi" w:cstheme="majorBidi"/>
          <w:sz w:val="24"/>
          <w:szCs w:val="24"/>
          <w:lang w:val="en-GB" w:eastAsia="en-GB"/>
        </w:rPr>
        <w:t xml:space="preserve"> that we come to (tacitly or not) from having observed these regularities. Wittgenstein opposes this: </w:t>
      </w:r>
      <w:r w:rsidR="00D91935" w:rsidRPr="00F64509">
        <w:rPr>
          <w:rFonts w:asciiTheme="majorBidi" w:eastAsia="Times New Roman" w:hAnsiTheme="majorBidi" w:cstheme="majorBidi"/>
          <w:sz w:val="24"/>
          <w:szCs w:val="24"/>
          <w:lang w:val="en-GB" w:eastAsia="en-GB"/>
        </w:rPr>
        <w:t>“</w:t>
      </w:r>
      <w:r w:rsidRPr="00F64509">
        <w:rPr>
          <w:rFonts w:asciiTheme="majorBidi" w:eastAsia="Calibri" w:hAnsiTheme="majorBidi" w:cstheme="majorBidi"/>
          <w:sz w:val="24"/>
          <w:szCs w:val="24"/>
          <w:lang w:val="en-GB"/>
        </w:rPr>
        <w:t>experience is not the ground for our game of judging</w:t>
      </w:r>
      <w:r w:rsidR="00D91935"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 xml:space="preserve"> (OC 131). </w:t>
      </w:r>
      <w:r w:rsidRPr="00F64509">
        <w:rPr>
          <w:rFonts w:asciiTheme="majorBidi" w:eastAsia="Times New Roman" w:hAnsiTheme="majorBidi" w:cstheme="majorBidi"/>
          <w:sz w:val="24"/>
          <w:szCs w:val="24"/>
          <w:lang w:val="en-GB" w:eastAsia="en-GB"/>
        </w:rPr>
        <w:t xml:space="preserve">But to say that our certainties are not </w:t>
      </w:r>
      <w:r w:rsidRPr="00F64509">
        <w:rPr>
          <w:rFonts w:asciiTheme="majorBidi" w:eastAsia="Times New Roman" w:hAnsiTheme="majorBidi" w:cstheme="majorBidi"/>
          <w:i/>
          <w:iCs/>
          <w:sz w:val="24"/>
          <w:szCs w:val="24"/>
          <w:lang w:val="en-GB" w:eastAsia="en-GB"/>
        </w:rPr>
        <w:t xml:space="preserve">grounded </w:t>
      </w:r>
      <w:r w:rsidR="00081BE9">
        <w:rPr>
          <w:rFonts w:asciiTheme="majorBidi" w:eastAsia="Times New Roman" w:hAnsiTheme="majorBidi" w:cstheme="majorBidi"/>
          <w:i/>
          <w:iCs/>
          <w:sz w:val="24"/>
          <w:szCs w:val="24"/>
          <w:lang w:val="en-GB" w:eastAsia="en-GB"/>
        </w:rPr>
        <w:t xml:space="preserve">on </w:t>
      </w:r>
      <w:r w:rsidRPr="00F64509">
        <w:rPr>
          <w:rFonts w:asciiTheme="majorBidi" w:eastAsia="Times New Roman" w:hAnsiTheme="majorBidi" w:cstheme="majorBidi"/>
          <w:sz w:val="24"/>
          <w:szCs w:val="24"/>
          <w:lang w:val="en-GB" w:eastAsia="en-GB"/>
        </w:rPr>
        <w:t xml:space="preserve">(that is: </w:t>
      </w:r>
      <w:r w:rsidRPr="00081BE9">
        <w:rPr>
          <w:rFonts w:asciiTheme="majorBidi" w:eastAsia="Times New Roman" w:hAnsiTheme="majorBidi" w:cstheme="majorBidi"/>
          <w:iCs/>
          <w:sz w:val="24"/>
          <w:szCs w:val="24"/>
          <w:lang w:val="en-GB" w:eastAsia="en-GB"/>
        </w:rPr>
        <w:t>justified</w:t>
      </w:r>
      <w:r w:rsidR="00081BE9" w:rsidRPr="00081BE9">
        <w:rPr>
          <w:rFonts w:asciiTheme="majorBidi" w:eastAsia="Times New Roman" w:hAnsiTheme="majorBidi" w:cstheme="majorBidi"/>
          <w:iCs/>
          <w:sz w:val="24"/>
          <w:szCs w:val="24"/>
          <w:lang w:val="en-GB" w:eastAsia="en-GB"/>
        </w:rPr>
        <w:t xml:space="preserve"> by</w:t>
      </w:r>
      <w:r w:rsidRPr="00081BE9">
        <w:rPr>
          <w:rFonts w:asciiTheme="majorBidi" w:eastAsia="Times New Roman" w:hAnsiTheme="majorBidi" w:cstheme="majorBidi"/>
          <w:iCs/>
          <w:sz w:val="24"/>
          <w:szCs w:val="24"/>
          <w:lang w:val="en-GB" w:eastAsia="en-GB"/>
        </w:rPr>
        <w:t>)</w:t>
      </w:r>
      <w:r w:rsidRPr="00F64509">
        <w:rPr>
          <w:rFonts w:asciiTheme="majorBidi" w:eastAsia="Times New Roman" w:hAnsiTheme="majorBidi" w:cstheme="majorBidi"/>
          <w:sz w:val="24"/>
          <w:szCs w:val="24"/>
          <w:lang w:val="en-GB" w:eastAsia="en-GB"/>
        </w:rPr>
        <w:t xml:space="preserve"> experience is not to rule out </w:t>
      </w:r>
      <w:r w:rsidRPr="00F64509">
        <w:rPr>
          <w:rFonts w:asciiTheme="majorBidi" w:eastAsia="Times New Roman" w:hAnsiTheme="majorBidi" w:cstheme="majorBidi"/>
          <w:i/>
          <w:iCs/>
          <w:sz w:val="24"/>
          <w:szCs w:val="24"/>
          <w:lang w:val="en-GB" w:eastAsia="en-GB"/>
        </w:rPr>
        <w:t>all</w:t>
      </w:r>
      <w:r w:rsidRPr="00F64509">
        <w:rPr>
          <w:rFonts w:asciiTheme="majorBidi" w:eastAsia="Times New Roman" w:hAnsiTheme="majorBidi" w:cstheme="majorBidi"/>
          <w:sz w:val="24"/>
          <w:szCs w:val="24"/>
          <w:lang w:val="en-GB" w:eastAsia="en-GB"/>
        </w:rPr>
        <w:t xml:space="preserve"> impact of experience on our certainty. Experience does contribute to the formation of some of our basic certainties, but it does so non</w:t>
      </w:r>
      <w:r w:rsidR="00335DC7"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inferentially and non-inductively; t</w:t>
      </w:r>
      <w:r w:rsidRPr="00F64509">
        <w:rPr>
          <w:rFonts w:asciiTheme="majorBidi" w:eastAsia="Calibri" w:hAnsiTheme="majorBidi" w:cstheme="majorBidi"/>
          <w:sz w:val="24"/>
          <w:szCs w:val="24"/>
          <w:lang w:val="en-GB"/>
        </w:rPr>
        <w:t xml:space="preserve">hat is: just as the squirrel does not argue to itself that because it had always needed stores in winter it will need stores next winter as well, I do not argue to myself </w:t>
      </w:r>
      <w:r w:rsidR="00D91935"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Fire has always burned me, so it will happen now too</w:t>
      </w:r>
      <w:r w:rsidR="00D91935"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 xml:space="preserve"> (cf. PI 325).</w:t>
      </w:r>
      <w:r w:rsidRPr="00F64509">
        <w:rPr>
          <w:rFonts w:asciiTheme="majorBidi" w:eastAsia="Times New Roman" w:hAnsiTheme="majorBidi" w:cstheme="majorBidi"/>
          <w:sz w:val="24"/>
          <w:szCs w:val="24"/>
          <w:lang w:val="en-GB" w:eastAsia="en-GB"/>
        </w:rPr>
        <w:t xml:space="preserve"> </w:t>
      </w:r>
    </w:p>
    <w:p w14:paraId="2CAA0762" w14:textId="52C573DC" w:rsidR="00E92AA8" w:rsidRPr="00F64509" w:rsidRDefault="000A7195" w:rsidP="00F64509">
      <w:pPr>
        <w:spacing w:line="480" w:lineRule="auto"/>
        <w:jc w:val="both"/>
        <w:rPr>
          <w:rFonts w:asciiTheme="majorBidi" w:eastAsia="Calibri" w:hAnsiTheme="majorBidi" w:cstheme="majorBidi"/>
          <w:sz w:val="24"/>
          <w:szCs w:val="24"/>
          <w:lang w:val="en-GB"/>
        </w:rPr>
      </w:pPr>
      <w:r w:rsidRPr="00F64509">
        <w:rPr>
          <w:rFonts w:asciiTheme="majorBidi" w:eastAsia="Times New Roman" w:hAnsiTheme="majorBidi" w:cstheme="majorBidi"/>
          <w:sz w:val="24"/>
          <w:szCs w:val="24"/>
          <w:lang w:val="en-GB" w:eastAsia="en-GB"/>
        </w:rPr>
        <w:t>Hinge</w:t>
      </w:r>
      <w:r w:rsidR="00E6505D" w:rsidRPr="00F64509">
        <w:rPr>
          <w:rFonts w:asciiTheme="majorBidi" w:eastAsia="Times New Roman" w:hAnsiTheme="majorBidi" w:cstheme="majorBidi"/>
          <w:sz w:val="24"/>
          <w:szCs w:val="24"/>
          <w:lang w:val="en-GB" w:eastAsia="en-GB"/>
        </w:rPr>
        <w:t xml:space="preserve"> </w:t>
      </w:r>
      <w:r w:rsidR="00E92AA8" w:rsidRPr="00F64509">
        <w:rPr>
          <w:rFonts w:asciiTheme="majorBidi" w:eastAsia="Times New Roman" w:hAnsiTheme="majorBidi" w:cstheme="majorBidi"/>
          <w:sz w:val="24"/>
          <w:szCs w:val="24"/>
          <w:lang w:val="en-GB" w:eastAsia="en-GB"/>
        </w:rPr>
        <w:t>certainty may</w:t>
      </w:r>
      <w:r w:rsidR="006764DC" w:rsidRPr="00F64509">
        <w:rPr>
          <w:rFonts w:asciiTheme="majorBidi" w:eastAsia="Times New Roman" w:hAnsiTheme="majorBidi" w:cstheme="majorBidi"/>
          <w:sz w:val="24"/>
          <w:szCs w:val="24"/>
          <w:lang w:val="en-GB" w:eastAsia="en-GB"/>
        </w:rPr>
        <w:t xml:space="preserve"> then</w:t>
      </w:r>
      <w:r w:rsidR="00E92AA8" w:rsidRPr="00F64509">
        <w:rPr>
          <w:rFonts w:asciiTheme="majorBidi" w:eastAsia="Times New Roman" w:hAnsiTheme="majorBidi" w:cstheme="majorBidi"/>
          <w:sz w:val="24"/>
          <w:szCs w:val="24"/>
          <w:lang w:val="en-GB" w:eastAsia="en-GB"/>
        </w:rPr>
        <w:t xml:space="preserve"> be </w:t>
      </w:r>
      <w:r w:rsidR="00E92AA8" w:rsidRPr="00F64509">
        <w:rPr>
          <w:rFonts w:asciiTheme="majorBidi" w:eastAsia="Times New Roman" w:hAnsiTheme="majorBidi" w:cstheme="majorBidi"/>
          <w:i/>
          <w:sz w:val="24"/>
          <w:szCs w:val="24"/>
          <w:lang w:val="en-GB" w:eastAsia="en-GB"/>
        </w:rPr>
        <w:t>conditioned</w:t>
      </w:r>
      <w:r w:rsidR="00E92AA8" w:rsidRPr="00F64509">
        <w:rPr>
          <w:rFonts w:asciiTheme="majorBidi" w:eastAsia="Times New Roman" w:hAnsiTheme="majorBidi" w:cstheme="majorBidi"/>
          <w:sz w:val="24"/>
          <w:szCs w:val="24"/>
          <w:lang w:val="en-GB" w:eastAsia="en-GB"/>
        </w:rPr>
        <w:t xml:space="preserve"> by certain facts</w:t>
      </w:r>
      <w:r w:rsidR="00AC49F0" w:rsidRPr="00F64509">
        <w:rPr>
          <w:rFonts w:asciiTheme="majorBidi" w:eastAsia="Times New Roman" w:hAnsiTheme="majorBidi" w:cstheme="majorBidi"/>
          <w:sz w:val="24"/>
          <w:szCs w:val="24"/>
          <w:lang w:val="en-GB" w:eastAsia="en-GB"/>
        </w:rPr>
        <w:t xml:space="preserve"> –</w:t>
      </w:r>
      <w:r w:rsidR="00E92AA8" w:rsidRPr="00F64509">
        <w:rPr>
          <w:rFonts w:asciiTheme="majorBidi" w:eastAsia="Times New Roman" w:hAnsiTheme="majorBidi" w:cstheme="majorBidi"/>
          <w:sz w:val="24"/>
          <w:szCs w:val="24"/>
          <w:lang w:val="en-GB" w:eastAsia="en-GB"/>
        </w:rPr>
        <w:t xml:space="preserve"> that is to say, it can be </w:t>
      </w:r>
      <w:r w:rsidR="00E92AA8" w:rsidRPr="00F64509">
        <w:rPr>
          <w:rFonts w:asciiTheme="majorBidi" w:eastAsia="Times New Roman" w:hAnsiTheme="majorBidi" w:cstheme="majorBidi"/>
          <w:i/>
          <w:sz w:val="24"/>
          <w:szCs w:val="24"/>
          <w:lang w:val="en-GB" w:eastAsia="en-GB"/>
        </w:rPr>
        <w:t>caused</w:t>
      </w:r>
      <w:r w:rsidR="00E92AA8" w:rsidRPr="00F64509">
        <w:rPr>
          <w:rFonts w:asciiTheme="majorBidi" w:eastAsia="Times New Roman" w:hAnsiTheme="majorBidi" w:cstheme="majorBidi"/>
          <w:sz w:val="24"/>
          <w:szCs w:val="24"/>
          <w:lang w:val="en-GB" w:eastAsia="en-GB"/>
        </w:rPr>
        <w:t xml:space="preserve"> by them</w:t>
      </w:r>
      <w:r w:rsidR="00AC49F0" w:rsidRPr="00F64509">
        <w:rPr>
          <w:rFonts w:asciiTheme="majorBidi" w:eastAsia="Times New Roman" w:hAnsiTheme="majorBidi" w:cstheme="majorBidi"/>
          <w:sz w:val="24"/>
          <w:szCs w:val="24"/>
          <w:lang w:val="en-GB" w:eastAsia="en-GB"/>
        </w:rPr>
        <w:t xml:space="preserve"> –</w:t>
      </w:r>
      <w:r w:rsidR="00E92AA8" w:rsidRPr="00F64509">
        <w:rPr>
          <w:rFonts w:asciiTheme="majorBidi" w:eastAsia="Times New Roman" w:hAnsiTheme="majorBidi" w:cstheme="majorBidi"/>
          <w:sz w:val="24"/>
          <w:szCs w:val="24"/>
          <w:lang w:val="en-GB" w:eastAsia="en-GB"/>
        </w:rPr>
        <w:t xml:space="preserve"> but not </w:t>
      </w:r>
      <w:r w:rsidR="00E92AA8" w:rsidRPr="00F64509">
        <w:rPr>
          <w:rFonts w:asciiTheme="majorBidi" w:eastAsia="Times New Roman" w:hAnsiTheme="majorBidi" w:cstheme="majorBidi"/>
          <w:i/>
          <w:sz w:val="24"/>
          <w:szCs w:val="24"/>
          <w:lang w:val="en-GB" w:eastAsia="en-GB"/>
        </w:rPr>
        <w:t>justified,</w:t>
      </w:r>
      <w:r w:rsidR="00E92AA8" w:rsidRPr="00F64509">
        <w:rPr>
          <w:rFonts w:asciiTheme="majorBidi" w:eastAsia="Times New Roman" w:hAnsiTheme="majorBidi" w:cstheme="majorBidi"/>
          <w:sz w:val="24"/>
          <w:szCs w:val="24"/>
          <w:lang w:val="en-GB" w:eastAsia="en-GB"/>
        </w:rPr>
        <w:t xml:space="preserve"> by them: </w:t>
      </w:r>
      <w:r w:rsidR="00D91935"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sz w:val="24"/>
          <w:szCs w:val="24"/>
          <w:lang w:val="en-GB" w:eastAsia="en-GB" w:bidi="sa-IN"/>
        </w:rPr>
        <w:t xml:space="preserve">previous experience may very well be the </w:t>
      </w:r>
      <w:r w:rsidR="00E92AA8" w:rsidRPr="00F64509">
        <w:rPr>
          <w:rFonts w:asciiTheme="majorBidi" w:eastAsia="Times New Roman" w:hAnsiTheme="majorBidi" w:cstheme="majorBidi"/>
          <w:i/>
          <w:iCs/>
          <w:sz w:val="24"/>
          <w:szCs w:val="24"/>
          <w:lang w:val="en-GB" w:eastAsia="en-GB" w:bidi="sa-IN"/>
        </w:rPr>
        <w:t>cause</w:t>
      </w:r>
      <w:r w:rsidR="00E92AA8" w:rsidRPr="00F64509">
        <w:rPr>
          <w:rFonts w:asciiTheme="majorBidi" w:eastAsia="Times New Roman" w:hAnsiTheme="majorBidi" w:cstheme="majorBidi"/>
          <w:sz w:val="24"/>
          <w:szCs w:val="24"/>
          <w:lang w:val="en-GB" w:eastAsia="en-GB" w:bidi="sa-IN"/>
        </w:rPr>
        <w:t xml:space="preserve"> of my present certitude, but is it its ground?</w:t>
      </w:r>
      <w:r w:rsidR="00D91935" w:rsidRPr="00F64509">
        <w:rPr>
          <w:rFonts w:asciiTheme="majorBidi" w:eastAsia="Times New Roman" w:hAnsiTheme="majorBidi" w:cstheme="majorBidi"/>
          <w:sz w:val="24"/>
          <w:szCs w:val="24"/>
          <w:lang w:val="en-GB" w:eastAsia="en-GB" w:bidi="sa-IN"/>
        </w:rPr>
        <w:t>”</w:t>
      </w:r>
      <w:r w:rsidR="00E92AA8" w:rsidRPr="00F64509">
        <w:rPr>
          <w:rFonts w:asciiTheme="majorBidi" w:eastAsia="Times New Roman" w:hAnsiTheme="majorBidi" w:cstheme="majorBidi"/>
          <w:sz w:val="24"/>
          <w:szCs w:val="24"/>
          <w:lang w:val="en-GB" w:eastAsia="en-GB" w:bidi="sa-IN"/>
        </w:rPr>
        <w:t xml:space="preserve"> (OC 429), asks Wittgenstein, and his answer is:</w:t>
      </w:r>
      <w:r w:rsidR="00E92AA8" w:rsidRPr="00F64509">
        <w:rPr>
          <w:rFonts w:asciiTheme="majorBidi" w:eastAsia="Calibri" w:hAnsiTheme="majorBidi" w:cstheme="majorBidi"/>
          <w:sz w:val="24"/>
          <w:szCs w:val="24"/>
          <w:lang w:val="en-GB"/>
        </w:rPr>
        <w:t xml:space="preserve"> </w:t>
      </w:r>
      <w:r w:rsidR="00D91935" w:rsidRPr="00F64509">
        <w:rPr>
          <w:rFonts w:asciiTheme="majorBidi" w:eastAsia="Calibri" w:hAnsiTheme="majorBidi" w:cstheme="majorBidi"/>
          <w:sz w:val="24"/>
          <w:szCs w:val="24"/>
          <w:lang w:val="en-GB"/>
        </w:rPr>
        <w:t>“</w:t>
      </w:r>
      <w:r w:rsidR="00E92AA8" w:rsidRPr="00F64509">
        <w:rPr>
          <w:rFonts w:asciiTheme="majorBidi" w:eastAsia="Calibri" w:hAnsiTheme="majorBidi" w:cstheme="majorBidi"/>
          <w:sz w:val="24"/>
          <w:szCs w:val="24"/>
          <w:lang w:val="en-GB"/>
        </w:rPr>
        <w:t>No, experience is not the ground for our game of judging</w:t>
      </w:r>
      <w:r w:rsidR="00D91935" w:rsidRPr="00F64509">
        <w:rPr>
          <w:rFonts w:asciiTheme="majorBidi" w:eastAsia="Calibri" w:hAnsiTheme="majorBidi" w:cstheme="majorBidi"/>
          <w:sz w:val="24"/>
          <w:szCs w:val="24"/>
          <w:lang w:val="en-GB"/>
        </w:rPr>
        <w:t>”</w:t>
      </w:r>
      <w:r w:rsidR="00E92AA8" w:rsidRPr="00F64509">
        <w:rPr>
          <w:rFonts w:asciiTheme="majorBidi" w:eastAsia="Times" w:hAnsiTheme="majorBidi" w:cstheme="majorBidi"/>
          <w:sz w:val="24"/>
          <w:szCs w:val="24"/>
          <w:lang w:eastAsia="en-GB"/>
        </w:rPr>
        <w:t xml:space="preserve"> (OC 131).</w:t>
      </w:r>
      <w:r w:rsidR="00E92AA8" w:rsidRPr="00F64509">
        <w:rPr>
          <w:rFonts w:asciiTheme="majorBidi" w:eastAsia="Times New Roman" w:hAnsiTheme="majorBidi" w:cstheme="majorBidi"/>
          <w:sz w:val="24"/>
          <w:szCs w:val="24"/>
          <w:lang w:val="en-GB" w:eastAsia="en-GB" w:bidi="sa-IN"/>
        </w:rPr>
        <w:t xml:space="preserve"> </w:t>
      </w:r>
      <w:r w:rsidR="00E92AA8" w:rsidRPr="00F64509">
        <w:rPr>
          <w:rFonts w:asciiTheme="majorBidi" w:eastAsia="Times New Roman" w:hAnsiTheme="majorBidi" w:cstheme="majorBidi"/>
          <w:sz w:val="24"/>
          <w:szCs w:val="24"/>
          <w:lang w:val="en-GB" w:eastAsia="en-GB"/>
        </w:rPr>
        <w:t xml:space="preserve">Our </w:t>
      </w:r>
      <w:r w:rsidR="00E92AA8" w:rsidRPr="00F64509">
        <w:rPr>
          <w:rFonts w:asciiTheme="majorBidi" w:eastAsia="Times New Roman" w:hAnsiTheme="majorBidi" w:cstheme="majorBidi"/>
          <w:i/>
          <w:iCs/>
          <w:sz w:val="24"/>
          <w:szCs w:val="24"/>
          <w:lang w:val="en-GB" w:eastAsia="en-GB"/>
        </w:rPr>
        <w:t>basic</w:t>
      </w:r>
      <w:r w:rsidR="00E92AA8" w:rsidRPr="00F64509">
        <w:rPr>
          <w:rFonts w:asciiTheme="majorBidi" w:eastAsia="Times New Roman" w:hAnsiTheme="majorBidi" w:cstheme="majorBidi"/>
          <w:sz w:val="24"/>
          <w:szCs w:val="24"/>
          <w:lang w:val="en-GB" w:eastAsia="en-GB"/>
        </w:rPr>
        <w:t xml:space="preserve"> certainty may be due to instinct, training, repeated exposure, not to reasoning from experience. And here, we might helpfully distinguish between </w:t>
      </w:r>
      <w:r w:rsidR="00E92AA8" w:rsidRPr="00F64509">
        <w:rPr>
          <w:rFonts w:asciiTheme="majorBidi" w:eastAsia="Times New Roman" w:hAnsiTheme="majorBidi" w:cstheme="majorBidi"/>
          <w:i/>
          <w:iCs/>
          <w:sz w:val="24"/>
          <w:szCs w:val="24"/>
          <w:lang w:val="en-GB" w:eastAsia="en-GB"/>
        </w:rPr>
        <w:t>experiential</w:t>
      </w:r>
      <w:r w:rsidR="00E92AA8" w:rsidRPr="00F64509">
        <w:rPr>
          <w:rFonts w:asciiTheme="majorBidi" w:eastAsia="Times New Roman" w:hAnsiTheme="majorBidi" w:cstheme="majorBidi"/>
          <w:sz w:val="24"/>
          <w:szCs w:val="24"/>
          <w:lang w:val="en-GB" w:eastAsia="en-GB"/>
        </w:rPr>
        <w:t xml:space="preserve"> and </w:t>
      </w:r>
      <w:r w:rsidR="00E92AA8" w:rsidRPr="00F64509">
        <w:rPr>
          <w:rFonts w:asciiTheme="majorBidi" w:eastAsia="Times New Roman" w:hAnsiTheme="majorBidi" w:cstheme="majorBidi"/>
          <w:i/>
          <w:iCs/>
          <w:sz w:val="24"/>
          <w:szCs w:val="24"/>
          <w:lang w:val="en-GB" w:eastAsia="en-GB"/>
        </w:rPr>
        <w:t>empirical</w:t>
      </w:r>
      <w:r w:rsidR="00E92AA8" w:rsidRPr="00F64509">
        <w:rPr>
          <w:rFonts w:asciiTheme="majorBidi" w:eastAsia="Times New Roman" w:hAnsiTheme="majorBidi" w:cstheme="majorBidi"/>
          <w:sz w:val="24"/>
          <w:szCs w:val="24"/>
          <w:lang w:val="en-GB" w:eastAsia="en-GB"/>
        </w:rPr>
        <w:t xml:space="preserve">. Whereas basic certainty may be </w:t>
      </w:r>
      <w:bookmarkStart w:id="7" w:name="_Hlk209576812"/>
      <w:r w:rsidR="00E92AA8" w:rsidRPr="00F64509">
        <w:rPr>
          <w:rFonts w:asciiTheme="majorBidi" w:eastAsia="Times New Roman" w:hAnsiTheme="majorBidi" w:cstheme="majorBidi"/>
          <w:i/>
          <w:iCs/>
          <w:sz w:val="24"/>
          <w:szCs w:val="24"/>
          <w:lang w:val="en-GB" w:eastAsia="en-GB"/>
        </w:rPr>
        <w:t>experiential</w:t>
      </w:r>
      <w:r w:rsidR="00E92AA8" w:rsidRPr="00F64509">
        <w:rPr>
          <w:rFonts w:asciiTheme="majorBidi" w:eastAsia="Times New Roman" w:hAnsiTheme="majorBidi" w:cstheme="majorBidi"/>
          <w:sz w:val="24"/>
          <w:szCs w:val="24"/>
          <w:lang w:val="en-GB" w:eastAsia="en-GB"/>
        </w:rPr>
        <w:t xml:space="preserve"> </w:t>
      </w:r>
      <w:bookmarkEnd w:id="7"/>
      <w:r w:rsidR="00E92AA8" w:rsidRPr="00F64509">
        <w:rPr>
          <w:rFonts w:asciiTheme="majorBidi" w:eastAsia="Times New Roman" w:hAnsiTheme="majorBidi" w:cstheme="majorBidi"/>
          <w:sz w:val="24"/>
          <w:szCs w:val="24"/>
          <w:lang w:val="en-GB" w:eastAsia="en-GB"/>
        </w:rPr>
        <w:t xml:space="preserve">– manifested, embedded in or caused by experience – it cannot be </w:t>
      </w:r>
      <w:r w:rsidR="00E92AA8" w:rsidRPr="00F64509">
        <w:rPr>
          <w:rFonts w:asciiTheme="majorBidi" w:eastAsia="Times New Roman" w:hAnsiTheme="majorBidi" w:cstheme="majorBidi"/>
          <w:i/>
          <w:iCs/>
          <w:sz w:val="24"/>
          <w:szCs w:val="24"/>
          <w:lang w:val="en-GB" w:eastAsia="en-GB"/>
        </w:rPr>
        <w:t>empirical</w:t>
      </w:r>
      <w:r w:rsidR="00E92AA8" w:rsidRPr="00F64509">
        <w:rPr>
          <w:rFonts w:asciiTheme="majorBidi" w:eastAsia="Times New Roman" w:hAnsiTheme="majorBidi" w:cstheme="majorBidi"/>
          <w:sz w:val="24"/>
          <w:szCs w:val="24"/>
          <w:lang w:val="en-GB" w:eastAsia="en-GB"/>
        </w:rPr>
        <w:t xml:space="preserve">: inferred or reasoned from experience. Wittgenstein makes clear that although we invariably invoke an implicit or ghostly reasoning to explain our most basic beliefs, in fact no such </w:t>
      </w:r>
      <w:r w:rsidR="00E92AA8" w:rsidRPr="00F64509">
        <w:rPr>
          <w:rFonts w:asciiTheme="majorBidi" w:eastAsia="Times New Roman" w:hAnsiTheme="majorBidi" w:cstheme="majorBidi"/>
          <w:sz w:val="24"/>
          <w:szCs w:val="24"/>
          <w:lang w:val="en-GB" w:eastAsia="en-GB"/>
        </w:rPr>
        <w:lastRenderedPageBreak/>
        <w:t>reasoning takes place; w</w:t>
      </w:r>
      <w:r w:rsidR="00E92AA8" w:rsidRPr="00F64509">
        <w:rPr>
          <w:rFonts w:asciiTheme="majorBidi" w:eastAsia="Calibri" w:hAnsiTheme="majorBidi" w:cstheme="majorBidi"/>
          <w:sz w:val="24"/>
          <w:szCs w:val="24"/>
          <w:lang w:val="en-GB"/>
        </w:rPr>
        <w:t xml:space="preserve">e do not arrive </w:t>
      </w:r>
      <w:r w:rsidR="00D91935" w:rsidRPr="00F64509">
        <w:rPr>
          <w:rFonts w:asciiTheme="majorBidi" w:eastAsia="Calibri" w:hAnsiTheme="majorBidi" w:cstheme="majorBidi"/>
          <w:sz w:val="24"/>
          <w:szCs w:val="24"/>
          <w:lang w:val="en-GB"/>
        </w:rPr>
        <w:t>“</w:t>
      </w:r>
      <w:r w:rsidR="00E92AA8" w:rsidRPr="00F64509">
        <w:rPr>
          <w:rFonts w:asciiTheme="majorBidi" w:eastAsia="Calibri" w:hAnsiTheme="majorBidi" w:cstheme="majorBidi"/>
          <w:sz w:val="24"/>
          <w:szCs w:val="24"/>
          <w:lang w:val="en-GB"/>
        </w:rPr>
        <w:t>at the conviction by following a particular line of thought</w:t>
      </w:r>
      <w:r w:rsidR="00D91935" w:rsidRPr="00F64509">
        <w:rPr>
          <w:rFonts w:asciiTheme="majorBidi" w:eastAsia="Calibri" w:hAnsiTheme="majorBidi" w:cstheme="majorBidi"/>
          <w:sz w:val="24"/>
          <w:szCs w:val="24"/>
          <w:lang w:val="en-GB"/>
        </w:rPr>
        <w:t>”</w:t>
      </w:r>
      <w:r w:rsidR="00E92AA8" w:rsidRPr="00F64509">
        <w:rPr>
          <w:rFonts w:asciiTheme="majorBidi" w:eastAsia="Calibri" w:hAnsiTheme="majorBidi" w:cstheme="majorBidi"/>
          <w:sz w:val="24"/>
          <w:szCs w:val="24"/>
          <w:lang w:val="en-GB"/>
        </w:rPr>
        <w:t xml:space="preserve"> (OC 103).</w:t>
      </w:r>
    </w:p>
    <w:p w14:paraId="5A811758" w14:textId="5963C2CA" w:rsidR="00E92AA8" w:rsidRPr="00104E28" w:rsidRDefault="00E92AA8" w:rsidP="00104E28">
      <w:pPr>
        <w:spacing w:line="480" w:lineRule="auto"/>
        <w:jc w:val="both"/>
        <w:rPr>
          <w:rFonts w:asciiTheme="majorBidi" w:eastAsia="Calibri" w:hAnsiTheme="majorBidi" w:cstheme="majorBidi"/>
          <w:sz w:val="24"/>
          <w:szCs w:val="24"/>
          <w:lang w:val="en-GB"/>
        </w:rPr>
      </w:pPr>
      <w:r w:rsidRPr="00F64509">
        <w:rPr>
          <w:rFonts w:asciiTheme="majorBidi" w:eastAsia="Calibri" w:hAnsiTheme="majorBidi" w:cstheme="majorBidi"/>
          <w:sz w:val="24"/>
          <w:szCs w:val="24"/>
          <w:lang w:val="en-GB"/>
        </w:rPr>
        <w:t>O</w:t>
      </w:r>
      <w:r w:rsidRPr="00F64509">
        <w:rPr>
          <w:rFonts w:asciiTheme="majorBidi" w:eastAsia="Times New Roman" w:hAnsiTheme="majorBidi" w:cstheme="majorBidi"/>
          <w:sz w:val="24"/>
          <w:szCs w:val="24"/>
          <w:lang w:val="en-GB" w:eastAsia="en-GB"/>
        </w:rPr>
        <w:t>ur basic certainty</w:t>
      </w:r>
      <w:r w:rsidR="00B41A16" w:rsidRPr="00F64509">
        <w:rPr>
          <w:rFonts w:asciiTheme="majorBidi" w:eastAsia="Times New Roman" w:hAnsiTheme="majorBidi" w:cstheme="majorBidi"/>
          <w:sz w:val="24"/>
          <w:szCs w:val="24"/>
          <w:lang w:val="en-GB" w:eastAsia="en-GB"/>
        </w:rPr>
        <w:t>, therefore,</w:t>
      </w:r>
      <w:r w:rsidRPr="00F64509">
        <w:rPr>
          <w:rFonts w:asciiTheme="majorBidi" w:eastAsia="Times New Roman" w:hAnsiTheme="majorBidi" w:cstheme="majorBidi"/>
          <w:sz w:val="24"/>
          <w:szCs w:val="24"/>
          <w:lang w:val="en-GB" w:eastAsia="en-GB"/>
        </w:rPr>
        <w:t xml:space="preserve"> is not rational but </w:t>
      </w:r>
      <w:r w:rsidRPr="00F64509">
        <w:rPr>
          <w:rFonts w:asciiTheme="majorBidi" w:eastAsia="Times New Roman" w:hAnsiTheme="majorBidi" w:cstheme="majorBidi"/>
          <w:i/>
          <w:iCs/>
          <w:sz w:val="24"/>
          <w:szCs w:val="24"/>
          <w:lang w:val="en-GB" w:eastAsia="en-GB"/>
        </w:rPr>
        <w:t>a</w:t>
      </w:r>
      <w:r w:rsidRPr="00F64509">
        <w:rPr>
          <w:rFonts w:asciiTheme="majorBidi" w:eastAsia="Times New Roman" w:hAnsiTheme="majorBidi" w:cstheme="majorBidi"/>
          <w:sz w:val="24"/>
          <w:szCs w:val="24"/>
          <w:lang w:val="en-GB" w:eastAsia="en-GB"/>
        </w:rPr>
        <w:t xml:space="preserve">rational, animal: </w:t>
      </w:r>
      <w:r w:rsidR="00D91935"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I want to conceive it as something that lies beyond being justified or unjustified; as it were, as something animal</w:t>
      </w:r>
      <w:r w:rsidR="00D91935"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(OC 359); </w:t>
      </w:r>
      <w:r w:rsidR="00D91935" w:rsidRPr="00F64509">
        <w:rPr>
          <w:rFonts w:asciiTheme="majorBidi" w:eastAsia="Times New Roman" w:hAnsiTheme="majorBidi" w:cstheme="majorBidi"/>
          <w:sz w:val="24"/>
          <w:szCs w:val="24"/>
          <w:lang w:val="en-GB" w:eastAsia="en-GB"/>
        </w:rPr>
        <w:t>“</w:t>
      </w:r>
      <w:r w:rsidRPr="00F64509">
        <w:rPr>
          <w:rFonts w:asciiTheme="majorBidi" w:eastAsia="Times" w:hAnsiTheme="majorBidi" w:cstheme="majorBidi"/>
          <w:sz w:val="24"/>
          <w:szCs w:val="24"/>
          <w:lang w:val="en-GB" w:eastAsia="en-GB"/>
        </w:rPr>
        <w:t>I want to regard man here as an animal; as a primitive being to which one grants instinct but not ratiocination</w:t>
      </w:r>
      <w:r w:rsidR="00D91935" w:rsidRPr="00F64509">
        <w:rPr>
          <w:rFonts w:asciiTheme="majorBidi" w:eastAsia="Times" w:hAnsiTheme="majorBidi" w:cstheme="majorBidi"/>
          <w:sz w:val="24"/>
          <w:szCs w:val="24"/>
          <w:lang w:val="en-GB" w:eastAsia="en-GB"/>
        </w:rPr>
        <w:t>”</w:t>
      </w:r>
      <w:r w:rsidRPr="00F64509">
        <w:rPr>
          <w:rFonts w:asciiTheme="majorBidi" w:eastAsia="Times" w:hAnsiTheme="majorBidi" w:cstheme="majorBidi"/>
          <w:sz w:val="24"/>
          <w:szCs w:val="24"/>
          <w:lang w:val="en-GB" w:eastAsia="en-GB"/>
        </w:rPr>
        <w:t xml:space="preserve"> (OC 475)</w:t>
      </w:r>
      <w:r w:rsidRPr="00F64509">
        <w:rPr>
          <w:rFonts w:asciiTheme="majorBidi" w:eastAsia="Times New Roman" w:hAnsiTheme="majorBidi" w:cstheme="majorBidi"/>
          <w:sz w:val="24"/>
          <w:szCs w:val="24"/>
          <w:lang w:val="en-GB" w:eastAsia="en-GB"/>
        </w:rPr>
        <w:t xml:space="preserve">. </w:t>
      </w:r>
      <w:r w:rsidR="006764DC" w:rsidRPr="00F64509">
        <w:rPr>
          <w:rFonts w:asciiTheme="majorBidi" w:eastAsia="Times New Roman" w:hAnsiTheme="majorBidi" w:cstheme="majorBidi"/>
          <w:sz w:val="24"/>
          <w:szCs w:val="24"/>
          <w:lang w:val="en-GB" w:eastAsia="en-GB"/>
        </w:rPr>
        <w:t>Hinge</w:t>
      </w:r>
      <w:r w:rsidRPr="00F64509">
        <w:rPr>
          <w:rFonts w:asciiTheme="majorBidi" w:eastAsia="Times New Roman" w:hAnsiTheme="majorBidi" w:cstheme="majorBidi"/>
          <w:sz w:val="24"/>
          <w:szCs w:val="24"/>
          <w:lang w:val="en-GB" w:eastAsia="en-GB"/>
        </w:rPr>
        <w:t xml:space="preserve"> certainty is as unreasoned</w:t>
      </w:r>
      <w:r w:rsidR="0078023A" w:rsidRPr="00F64509">
        <w:rPr>
          <w:rFonts w:asciiTheme="majorBidi" w:eastAsia="Times New Roman" w:hAnsiTheme="majorBidi" w:cstheme="majorBidi"/>
          <w:sz w:val="24"/>
          <w:szCs w:val="24"/>
          <w:lang w:val="en-GB" w:eastAsia="en-GB"/>
        </w:rPr>
        <w:t>, and therefore as indubitable,</w:t>
      </w:r>
      <w:r w:rsidRPr="00F64509">
        <w:rPr>
          <w:rFonts w:asciiTheme="majorBidi" w:eastAsia="Times New Roman" w:hAnsiTheme="majorBidi" w:cstheme="majorBidi"/>
          <w:sz w:val="24"/>
          <w:szCs w:val="24"/>
          <w:lang w:val="en-GB" w:eastAsia="en-GB"/>
        </w:rPr>
        <w:t xml:space="preserve"> as my assurance of being in pain when I have a migraine or have sharply cut myself. </w:t>
      </w:r>
      <w:r w:rsidR="00B41A16" w:rsidRPr="00F64509">
        <w:rPr>
          <w:rFonts w:asciiTheme="majorBidi" w:eastAsia="Times New Roman" w:hAnsiTheme="majorBidi" w:cstheme="majorBidi"/>
          <w:sz w:val="24"/>
          <w:szCs w:val="24"/>
          <w:lang w:val="en-GB" w:eastAsia="en-GB"/>
        </w:rPr>
        <w:t>T</w:t>
      </w:r>
      <w:r w:rsidRPr="00F64509">
        <w:rPr>
          <w:rFonts w:asciiTheme="majorBidi" w:eastAsia="Times New Roman" w:hAnsiTheme="majorBidi" w:cstheme="majorBidi"/>
          <w:sz w:val="24"/>
          <w:szCs w:val="24"/>
          <w:lang w:val="en-GB" w:eastAsia="en-GB"/>
        </w:rPr>
        <w:t>his certainty</w:t>
      </w:r>
      <w:r w:rsidR="00B41A16" w:rsidRPr="00F64509">
        <w:rPr>
          <w:rFonts w:asciiTheme="majorBidi" w:eastAsia="Times New Roman" w:hAnsiTheme="majorBidi" w:cstheme="majorBidi"/>
          <w:sz w:val="24"/>
          <w:szCs w:val="24"/>
          <w:lang w:val="en-GB" w:eastAsia="en-GB"/>
        </w:rPr>
        <w:t xml:space="preserve"> is likened</w:t>
      </w:r>
      <w:r w:rsidRPr="00F64509">
        <w:rPr>
          <w:rFonts w:asciiTheme="majorBidi" w:eastAsia="Times New Roman" w:hAnsiTheme="majorBidi" w:cstheme="majorBidi"/>
          <w:sz w:val="24"/>
          <w:szCs w:val="24"/>
          <w:lang w:val="en-GB" w:eastAsia="en-GB"/>
        </w:rPr>
        <w:t xml:space="preserve"> to a </w:t>
      </w:r>
      <w:r w:rsidR="00D91935"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direct taking-hold</w:t>
      </w:r>
      <w:r w:rsidR="00D91935"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w:t>
      </w:r>
    </w:p>
    <w:p w14:paraId="25697658" w14:textId="77777777" w:rsidR="00E92AA8" w:rsidRPr="00F64509" w:rsidRDefault="00E92AA8" w:rsidP="00104E28">
      <w:pPr>
        <w:spacing w:line="480" w:lineRule="auto"/>
        <w:ind w:left="820" w:right="940"/>
        <w:jc w:val="both"/>
        <w:rPr>
          <w:rFonts w:asciiTheme="majorBidi" w:eastAsia="Times New Roman" w:hAnsiTheme="majorBidi" w:cstheme="majorBidi"/>
          <w:sz w:val="24"/>
          <w:szCs w:val="24"/>
          <w:lang w:val="en-GB" w:eastAsia="en-GB" w:bidi="sa-IN"/>
        </w:rPr>
      </w:pPr>
      <w:r w:rsidRPr="00F64509">
        <w:rPr>
          <w:rFonts w:asciiTheme="majorBidi" w:eastAsia="Times New Roman" w:hAnsiTheme="majorBidi" w:cstheme="majorBidi"/>
          <w:sz w:val="24"/>
          <w:szCs w:val="24"/>
          <w:lang w:val="en-GB" w:eastAsia="en-GB"/>
        </w:rPr>
        <w:t>It is just like directly taking hold of something</w:t>
      </w:r>
      <w:r w:rsidRPr="00F64509">
        <w:rPr>
          <w:rFonts w:asciiTheme="majorBidi" w:eastAsia="Times New Roman" w:hAnsiTheme="majorBidi" w:cstheme="majorBidi"/>
          <w:sz w:val="24"/>
          <w:szCs w:val="24"/>
          <w:lang w:val="en-GB" w:eastAsia="en-GB" w:bidi="sa-IN"/>
        </w:rPr>
        <w:t xml:space="preserve">, as I take hold of my towel without having doubts. </w:t>
      </w:r>
      <w:r w:rsidRPr="00F64509">
        <w:rPr>
          <w:rFonts w:asciiTheme="majorBidi" w:eastAsia="Times New Roman" w:hAnsiTheme="majorBidi" w:cstheme="majorBidi"/>
          <w:sz w:val="24"/>
          <w:szCs w:val="24"/>
          <w:lang w:val="en-GB" w:eastAsia="en-GB"/>
        </w:rPr>
        <w:t>(OC 510).</w:t>
      </w:r>
      <w:r w:rsidRPr="00F64509">
        <w:rPr>
          <w:rFonts w:asciiTheme="majorBidi" w:eastAsia="Times New Roman" w:hAnsiTheme="majorBidi" w:cstheme="majorBidi"/>
          <w:sz w:val="24"/>
          <w:szCs w:val="24"/>
          <w:lang w:val="en-GB" w:eastAsia="en-GB" w:bidi="sa-IN"/>
        </w:rPr>
        <w:t xml:space="preserve"> </w:t>
      </w:r>
    </w:p>
    <w:p w14:paraId="5B3C242F" w14:textId="76C3F066" w:rsidR="00F71D40" w:rsidRPr="00F64509" w:rsidRDefault="00E92AA8" w:rsidP="00104E28">
      <w:pPr>
        <w:spacing w:line="480" w:lineRule="auto"/>
        <w:ind w:left="820" w:right="940"/>
        <w:jc w:val="both"/>
        <w:rPr>
          <w:rFonts w:asciiTheme="majorBidi" w:eastAsia="Times New Roman" w:hAnsiTheme="majorBidi" w:cstheme="majorBidi"/>
          <w:sz w:val="24"/>
          <w:szCs w:val="24"/>
          <w:lang w:val="en-GB" w:eastAsia="en-GB" w:bidi="sa-IN"/>
        </w:rPr>
      </w:pPr>
      <w:r w:rsidRPr="00F64509">
        <w:rPr>
          <w:rFonts w:asciiTheme="majorBidi" w:eastAsia="Times New Roman" w:hAnsiTheme="majorBidi" w:cstheme="majorBidi"/>
          <w:sz w:val="24"/>
          <w:szCs w:val="24"/>
          <w:lang w:val="en-GB" w:eastAsia="en-GB" w:bidi="sa-IN"/>
        </w:rPr>
        <w:t xml:space="preserve">And yet this direct taking-hold corresponds to a </w:t>
      </w:r>
      <w:r w:rsidRPr="00F64509">
        <w:rPr>
          <w:rFonts w:asciiTheme="majorBidi" w:eastAsia="Times New Roman" w:hAnsiTheme="majorBidi" w:cstheme="majorBidi"/>
          <w:i/>
          <w:iCs/>
          <w:sz w:val="24"/>
          <w:szCs w:val="24"/>
          <w:lang w:val="en-GB" w:eastAsia="en-GB" w:bidi="sa-IN"/>
        </w:rPr>
        <w:t>sureness</w:t>
      </w:r>
      <w:r w:rsidRPr="00F64509">
        <w:rPr>
          <w:rFonts w:asciiTheme="majorBidi" w:eastAsia="Times New Roman" w:hAnsiTheme="majorBidi" w:cstheme="majorBidi"/>
          <w:sz w:val="24"/>
          <w:szCs w:val="24"/>
          <w:lang w:val="en-GB" w:eastAsia="en-GB" w:bidi="sa-IN"/>
        </w:rPr>
        <w:t>, not to a knowing.</w:t>
      </w:r>
      <w:r w:rsidRPr="00F64509">
        <w:rPr>
          <w:rFonts w:asciiTheme="majorBidi" w:eastAsia="Times New Roman" w:hAnsiTheme="majorBidi" w:cstheme="majorBidi"/>
          <w:sz w:val="24"/>
          <w:szCs w:val="24"/>
          <w:lang w:val="en-GB" w:eastAsia="en-GB"/>
        </w:rPr>
        <w:t xml:space="preserve"> (OC 511)</w:t>
      </w:r>
    </w:p>
    <w:p w14:paraId="0B96436A" w14:textId="2EB5FFA7" w:rsidR="00E139B6" w:rsidRPr="00104E28" w:rsidRDefault="003A431B" w:rsidP="00104E28">
      <w:pPr>
        <w:spacing w:line="480" w:lineRule="auto"/>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napToGrid w:val="0"/>
          <w:sz w:val="24"/>
          <w:szCs w:val="24"/>
          <w:lang w:val="en-GB"/>
        </w:rPr>
        <w:t xml:space="preserve">According to Moyal-Sharrock, where </w:t>
      </w:r>
      <w:r w:rsidR="00F71D40" w:rsidRPr="00F64509">
        <w:rPr>
          <w:rFonts w:asciiTheme="majorBidi" w:eastAsia="Times New Roman" w:hAnsiTheme="majorBidi" w:cstheme="majorBidi"/>
          <w:snapToGrid w:val="0"/>
          <w:sz w:val="24"/>
          <w:szCs w:val="24"/>
          <w:lang w:val="en-GB"/>
        </w:rPr>
        <w:t xml:space="preserve">epistemologists have always thought of our basic beliefs as propositions that are known to us, </w:t>
      </w:r>
      <w:r w:rsidR="00F71D40" w:rsidRPr="00F64509">
        <w:rPr>
          <w:rFonts w:asciiTheme="majorBidi" w:eastAsia="Times New Roman" w:hAnsiTheme="majorBidi" w:cstheme="majorBidi"/>
          <w:i/>
          <w:iCs/>
          <w:snapToGrid w:val="0"/>
          <w:sz w:val="24"/>
          <w:szCs w:val="24"/>
          <w:lang w:val="en-GB"/>
        </w:rPr>
        <w:t>On Certainty</w:t>
      </w:r>
      <w:r w:rsidR="00F71D40" w:rsidRPr="00F64509">
        <w:rPr>
          <w:rFonts w:asciiTheme="majorBidi" w:eastAsia="Times New Roman" w:hAnsiTheme="majorBidi" w:cstheme="majorBidi"/>
          <w:snapToGrid w:val="0"/>
          <w:sz w:val="24"/>
          <w:szCs w:val="24"/>
          <w:lang w:val="en-GB"/>
        </w:rPr>
        <w:t xml:space="preserve"> makes clear that they are nonepistemic and nonpropositional</w:t>
      </w:r>
      <w:r w:rsidR="00F71D40" w:rsidRPr="00F64509">
        <w:rPr>
          <w:rFonts w:asciiTheme="majorBidi" w:eastAsia="Times New Roman" w:hAnsiTheme="majorBidi" w:cstheme="majorBidi"/>
          <w:snapToGrid w:val="0"/>
          <w:kern w:val="24"/>
          <w:sz w:val="24"/>
          <w:szCs w:val="24"/>
          <w:lang w:val="en-GB"/>
        </w:rPr>
        <w:t xml:space="preserve">. </w:t>
      </w:r>
      <w:r w:rsidR="00F71D40" w:rsidRPr="00F64509">
        <w:rPr>
          <w:rFonts w:asciiTheme="majorBidi" w:eastAsia="Calibri" w:hAnsiTheme="majorBidi" w:cstheme="majorBidi"/>
          <w:sz w:val="24"/>
          <w:szCs w:val="24"/>
          <w:lang w:val="en-GB"/>
        </w:rPr>
        <w:t>Our hinge certainties underpin thought and action not as propositions that strike us immediately as true but as ways of acting:</w:t>
      </w:r>
    </w:p>
    <w:p w14:paraId="035A8DA4" w14:textId="7DC1DC53" w:rsidR="00F71D40" w:rsidRPr="00104E28" w:rsidRDefault="00F71D40" w:rsidP="00104E28">
      <w:pPr>
        <w:widowControl w:val="0"/>
        <w:spacing w:line="480" w:lineRule="auto"/>
        <w:ind w:left="820" w:right="940"/>
        <w:jc w:val="both"/>
        <w:rPr>
          <w:rFonts w:asciiTheme="majorBidi" w:eastAsia="Times New Roman" w:hAnsiTheme="majorBidi" w:cstheme="majorBidi"/>
          <w:snapToGrid w:val="0"/>
          <w:kern w:val="24"/>
          <w:sz w:val="24"/>
          <w:szCs w:val="24"/>
          <w:lang w:val="en-GB"/>
        </w:rPr>
      </w:pPr>
      <w:r w:rsidRPr="00F64509">
        <w:rPr>
          <w:rFonts w:asciiTheme="majorBidi" w:eastAsia="Times New Roman" w:hAnsiTheme="majorBidi" w:cstheme="majorBidi"/>
          <w:snapToGrid w:val="0"/>
          <w:kern w:val="24"/>
          <w:sz w:val="24"/>
          <w:szCs w:val="24"/>
          <w:lang w:val="en-GB"/>
        </w:rPr>
        <w:t xml:space="preserve">... the end is not certain </w:t>
      </w:r>
      <w:r w:rsidR="00B53A7E" w:rsidRPr="00F64509">
        <w:rPr>
          <w:rFonts w:asciiTheme="majorBidi" w:eastAsia="Times New Roman" w:hAnsiTheme="majorBidi" w:cstheme="majorBidi"/>
          <w:snapToGrid w:val="0"/>
          <w:kern w:val="24"/>
          <w:sz w:val="24"/>
          <w:szCs w:val="24"/>
          <w:lang w:val="en-GB"/>
        </w:rPr>
        <w:t>‘</w:t>
      </w:r>
      <w:r w:rsidRPr="00F64509">
        <w:rPr>
          <w:rFonts w:asciiTheme="majorBidi" w:eastAsia="Times New Roman" w:hAnsiTheme="majorBidi" w:cstheme="majorBidi"/>
          <w:snapToGrid w:val="0"/>
          <w:kern w:val="24"/>
          <w:sz w:val="24"/>
          <w:szCs w:val="24"/>
          <w:lang w:val="en-GB"/>
        </w:rPr>
        <w:t>propositions</w:t>
      </w:r>
      <w:r w:rsidR="00B53A7E" w:rsidRPr="00F64509">
        <w:rPr>
          <w:rFonts w:asciiTheme="majorBidi" w:eastAsia="Times New Roman" w:hAnsiTheme="majorBidi" w:cstheme="majorBidi"/>
          <w:snapToGrid w:val="0"/>
          <w:kern w:val="24"/>
          <w:sz w:val="24"/>
          <w:szCs w:val="24"/>
          <w:lang w:val="en-GB"/>
        </w:rPr>
        <w:t>’</w:t>
      </w:r>
      <w:r w:rsidRPr="00F64509">
        <w:rPr>
          <w:rFonts w:asciiTheme="majorBidi" w:eastAsia="Times New Roman" w:hAnsiTheme="majorBidi" w:cstheme="majorBidi"/>
          <w:snapToGrid w:val="0"/>
          <w:kern w:val="24"/>
          <w:sz w:val="24"/>
          <w:szCs w:val="24"/>
          <w:lang w:val="en-GB"/>
        </w:rPr>
        <w:t xml:space="preserve"> striking us immediately as true, i.e. it is not a kind of </w:t>
      </w:r>
      <w:r w:rsidRPr="00F64509">
        <w:rPr>
          <w:rFonts w:asciiTheme="majorBidi" w:eastAsia="Times New Roman" w:hAnsiTheme="majorBidi" w:cstheme="majorBidi"/>
          <w:i/>
          <w:snapToGrid w:val="0"/>
          <w:kern w:val="24"/>
          <w:sz w:val="24"/>
          <w:szCs w:val="24"/>
          <w:lang w:val="en-GB"/>
        </w:rPr>
        <w:t>seeing</w:t>
      </w:r>
      <w:r w:rsidRPr="00F64509">
        <w:rPr>
          <w:rFonts w:asciiTheme="majorBidi" w:eastAsia="Times New Roman" w:hAnsiTheme="majorBidi" w:cstheme="majorBidi"/>
          <w:snapToGrid w:val="0"/>
          <w:kern w:val="24"/>
          <w:sz w:val="24"/>
          <w:szCs w:val="24"/>
          <w:lang w:val="en-GB"/>
        </w:rPr>
        <w:t xml:space="preserve"> on our part; it is our </w:t>
      </w:r>
      <w:r w:rsidRPr="00F64509">
        <w:rPr>
          <w:rFonts w:asciiTheme="majorBidi" w:eastAsia="Times New Roman" w:hAnsiTheme="majorBidi" w:cstheme="majorBidi"/>
          <w:i/>
          <w:snapToGrid w:val="0"/>
          <w:kern w:val="24"/>
          <w:sz w:val="24"/>
          <w:szCs w:val="24"/>
          <w:lang w:val="en-GB"/>
        </w:rPr>
        <w:t>acting,</w:t>
      </w:r>
      <w:r w:rsidRPr="00F64509">
        <w:rPr>
          <w:rFonts w:asciiTheme="majorBidi" w:eastAsia="Times New Roman" w:hAnsiTheme="majorBidi" w:cstheme="majorBidi"/>
          <w:snapToGrid w:val="0"/>
          <w:kern w:val="24"/>
          <w:sz w:val="24"/>
          <w:szCs w:val="24"/>
          <w:lang w:val="en-GB"/>
        </w:rPr>
        <w:t xml:space="preserve"> which lies at the bottom of the language-game. (OC 204)</w:t>
      </w:r>
    </w:p>
    <w:p w14:paraId="2E1C18DB" w14:textId="1C271165" w:rsidR="00F71D40" w:rsidRPr="003F068D" w:rsidRDefault="00F71D40" w:rsidP="003F068D">
      <w:pPr>
        <w:spacing w:line="480" w:lineRule="auto"/>
        <w:jc w:val="both"/>
        <w:rPr>
          <w:rFonts w:asciiTheme="majorBidi" w:eastAsia="Calibri" w:hAnsiTheme="majorBidi" w:cstheme="majorBidi"/>
          <w:noProof/>
          <w:sz w:val="24"/>
          <w:szCs w:val="24"/>
          <w:lang w:val="en-GB" w:eastAsia="en-GB"/>
        </w:rPr>
      </w:pPr>
      <w:r w:rsidRPr="00F64509">
        <w:rPr>
          <w:rFonts w:asciiTheme="majorBidi" w:eastAsia="Times New Roman" w:hAnsiTheme="majorBidi" w:cstheme="majorBidi"/>
          <w:sz w:val="24"/>
          <w:szCs w:val="24"/>
          <w:lang w:val="en-GB" w:eastAsia="en-GB"/>
        </w:rPr>
        <w:t>Moore</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s </w:t>
      </w:r>
      <w:r w:rsidRPr="00F64509">
        <w:rPr>
          <w:rFonts w:asciiTheme="majorBidi" w:eastAsia="Times New Roman" w:hAnsiTheme="majorBidi" w:cstheme="majorBidi"/>
          <w:i/>
          <w:sz w:val="24"/>
          <w:szCs w:val="24"/>
          <w:lang w:val="en-GB" w:eastAsia="en-GB"/>
        </w:rPr>
        <w:t>saying</w:t>
      </w:r>
      <w:r w:rsidRPr="00F64509">
        <w:rPr>
          <w:rFonts w:asciiTheme="majorBidi" w:eastAsia="Times New Roman" w:hAnsiTheme="majorBidi" w:cstheme="majorBidi"/>
          <w:sz w:val="24"/>
          <w:szCs w:val="24"/>
          <w:lang w:val="en-GB" w:eastAsia="en-GB"/>
        </w:rPr>
        <w:t xml:space="preserve"> </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I know that </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here is a hand</w:t>
      </w:r>
      <w:r w:rsidR="0018537E" w:rsidRPr="00F64509">
        <w:rPr>
          <w:rFonts w:asciiTheme="majorBidi" w:eastAsia="Times New Roman" w:hAnsiTheme="majorBidi" w:cstheme="majorBidi"/>
          <w:sz w:val="24"/>
          <w:szCs w:val="24"/>
          <w:lang w:val="en-GB" w:eastAsia="en-GB"/>
        </w:rPr>
        <w:t xml:space="preserve">’” </w:t>
      </w:r>
      <w:r w:rsidRPr="00F64509">
        <w:rPr>
          <w:rFonts w:asciiTheme="majorBidi" w:eastAsia="Times New Roman" w:hAnsiTheme="majorBidi" w:cstheme="majorBidi"/>
          <w:sz w:val="24"/>
          <w:szCs w:val="24"/>
          <w:lang w:val="en-GB" w:eastAsia="en-GB"/>
        </w:rPr>
        <w:t xml:space="preserve">conveyed no certainty that was not already </w:t>
      </w:r>
      <w:r w:rsidRPr="00F64509">
        <w:rPr>
          <w:rFonts w:asciiTheme="majorBidi" w:eastAsia="Times New Roman" w:hAnsiTheme="majorBidi" w:cstheme="majorBidi"/>
          <w:i/>
          <w:sz w:val="24"/>
          <w:szCs w:val="24"/>
          <w:lang w:val="en-GB" w:eastAsia="en-GB"/>
        </w:rPr>
        <w:t>visible</w:t>
      </w:r>
      <w:r w:rsidRPr="00F64509">
        <w:rPr>
          <w:rFonts w:asciiTheme="majorBidi" w:eastAsia="Times New Roman" w:hAnsiTheme="majorBidi" w:cstheme="majorBidi"/>
          <w:sz w:val="24"/>
          <w:szCs w:val="24"/>
          <w:lang w:val="en-GB" w:eastAsia="en-GB"/>
        </w:rPr>
        <w:t xml:space="preserve"> in his speaking </w:t>
      </w:r>
      <w:r w:rsidRPr="00F64509">
        <w:rPr>
          <w:rFonts w:asciiTheme="majorBidi" w:eastAsia="Times New Roman" w:hAnsiTheme="majorBidi" w:cstheme="majorBidi"/>
          <w:i/>
          <w:iCs/>
          <w:sz w:val="24"/>
          <w:szCs w:val="24"/>
          <w:lang w:val="en-GB" w:eastAsia="en-GB"/>
        </w:rPr>
        <w:t>about</w:t>
      </w:r>
      <w:r w:rsidRPr="00F64509">
        <w:rPr>
          <w:rFonts w:asciiTheme="majorBidi" w:eastAsia="Times New Roman" w:hAnsiTheme="majorBidi" w:cstheme="majorBidi"/>
          <w:sz w:val="24"/>
          <w:szCs w:val="24"/>
          <w:lang w:val="en-GB" w:eastAsia="en-GB"/>
        </w:rPr>
        <w:t xml:space="preserve"> his hand, in his ostensibly </w:t>
      </w:r>
      <w:r w:rsidRPr="00F64509">
        <w:rPr>
          <w:rFonts w:asciiTheme="majorBidi" w:eastAsia="Times New Roman" w:hAnsiTheme="majorBidi" w:cstheme="majorBidi"/>
          <w:i/>
          <w:iCs/>
          <w:sz w:val="24"/>
          <w:szCs w:val="24"/>
          <w:lang w:val="en-GB" w:eastAsia="en-GB"/>
        </w:rPr>
        <w:t>showing</w:t>
      </w:r>
      <w:r w:rsidRPr="00F64509">
        <w:rPr>
          <w:rFonts w:asciiTheme="majorBidi" w:eastAsia="Times New Roman" w:hAnsiTheme="majorBidi" w:cstheme="majorBidi"/>
          <w:sz w:val="24"/>
          <w:szCs w:val="24"/>
          <w:lang w:val="en-GB" w:eastAsia="en-GB"/>
        </w:rPr>
        <w:t xml:space="preserve"> it to his audience, or simply in his unselfconsciously </w:t>
      </w:r>
      <w:r w:rsidRPr="00F64509">
        <w:rPr>
          <w:rFonts w:asciiTheme="majorBidi" w:eastAsia="Times New Roman" w:hAnsiTheme="majorBidi" w:cstheme="majorBidi"/>
          <w:i/>
          <w:iCs/>
          <w:sz w:val="24"/>
          <w:szCs w:val="24"/>
          <w:lang w:val="en-GB" w:eastAsia="en-GB"/>
        </w:rPr>
        <w:t>using</w:t>
      </w:r>
      <w:r w:rsidRPr="00F64509">
        <w:rPr>
          <w:rFonts w:asciiTheme="majorBidi" w:eastAsia="Times New Roman" w:hAnsiTheme="majorBidi" w:cstheme="majorBidi"/>
          <w:sz w:val="24"/>
          <w:szCs w:val="24"/>
          <w:lang w:val="en-GB" w:eastAsia="en-GB"/>
        </w:rPr>
        <w:t xml:space="preserve"> it. In the same way, our certainty that </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Tables, chairs, pots and pans do not think</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shows itself in our </w:t>
      </w:r>
      <w:r w:rsidRPr="00F64509">
        <w:rPr>
          <w:rFonts w:asciiTheme="majorBidi" w:eastAsia="Times New Roman" w:hAnsiTheme="majorBidi" w:cstheme="majorBidi"/>
          <w:i/>
          <w:sz w:val="24"/>
          <w:szCs w:val="24"/>
          <w:lang w:val="en-GB" w:eastAsia="en-GB"/>
        </w:rPr>
        <w:t>treating</w:t>
      </w:r>
      <w:r w:rsidRPr="00F64509">
        <w:rPr>
          <w:rFonts w:asciiTheme="majorBidi" w:eastAsia="Times New Roman" w:hAnsiTheme="majorBidi" w:cstheme="majorBidi"/>
          <w:sz w:val="24"/>
          <w:szCs w:val="24"/>
          <w:lang w:val="en-GB" w:eastAsia="en-GB"/>
        </w:rPr>
        <w:t xml:space="preserve"> them as unthinking, inanimate objects. Our hinge </w:t>
      </w:r>
      <w:r w:rsidRPr="00F64509">
        <w:rPr>
          <w:rFonts w:asciiTheme="majorBidi" w:eastAsia="Times New Roman" w:hAnsiTheme="majorBidi" w:cstheme="majorBidi"/>
          <w:sz w:val="24"/>
          <w:szCs w:val="24"/>
          <w:lang w:val="en-GB" w:eastAsia="en-GB"/>
        </w:rPr>
        <w:lastRenderedPageBreak/>
        <w:t xml:space="preserve">certainty that </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There are physical objects</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shows itself in our </w:t>
      </w:r>
      <w:r w:rsidRPr="00F64509">
        <w:rPr>
          <w:rFonts w:asciiTheme="majorBidi" w:eastAsia="Times New Roman" w:hAnsiTheme="majorBidi" w:cstheme="majorBidi"/>
          <w:i/>
          <w:sz w:val="24"/>
          <w:szCs w:val="24"/>
          <w:lang w:val="en-GB" w:eastAsia="en-GB"/>
        </w:rPr>
        <w:t>reaching out</w:t>
      </w:r>
      <w:r w:rsidRPr="00F64509">
        <w:rPr>
          <w:rFonts w:asciiTheme="majorBidi" w:eastAsia="Times New Roman" w:hAnsiTheme="majorBidi" w:cstheme="majorBidi"/>
          <w:sz w:val="24"/>
          <w:szCs w:val="24"/>
          <w:lang w:val="en-GB" w:eastAsia="en-GB"/>
        </w:rPr>
        <w:t xml:space="preserve"> to pick a flower, but not a thought. Hinges are grammatical rules whose only manifestation, </w:t>
      </w:r>
      <w:r w:rsidRPr="00F64509">
        <w:rPr>
          <w:rFonts w:asciiTheme="majorBidi" w:eastAsia="Times New Roman" w:hAnsiTheme="majorBidi" w:cstheme="majorBidi"/>
          <w:i/>
          <w:iCs/>
          <w:sz w:val="24"/>
          <w:szCs w:val="24"/>
          <w:lang w:val="en-GB" w:eastAsia="en-GB"/>
        </w:rPr>
        <w:t>qua hinge</w:t>
      </w:r>
      <w:r w:rsidRPr="00F64509">
        <w:rPr>
          <w:rFonts w:asciiTheme="majorBidi" w:eastAsia="Times New Roman" w:hAnsiTheme="majorBidi" w:cstheme="majorBidi"/>
          <w:sz w:val="24"/>
          <w:szCs w:val="24"/>
          <w:lang w:val="en-GB" w:eastAsia="en-GB"/>
        </w:rPr>
        <w:t>, is in action:</w:t>
      </w:r>
    </w:p>
    <w:p w14:paraId="1A1E85C6" w14:textId="112E4FEB" w:rsidR="00F71D40" w:rsidRPr="00F64509" w:rsidRDefault="00F71D40" w:rsidP="00104E28">
      <w:pPr>
        <w:spacing w:line="480" w:lineRule="auto"/>
        <w:ind w:left="820" w:right="940"/>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t xml:space="preserve">That is to say, it belongs to the logic of our scientific investigations that certain things are </w:t>
      </w:r>
      <w:r w:rsidRPr="00F64509">
        <w:rPr>
          <w:rFonts w:asciiTheme="majorBidi" w:eastAsia="Times New Roman" w:hAnsiTheme="majorBidi" w:cstheme="majorBidi"/>
          <w:i/>
          <w:sz w:val="24"/>
          <w:szCs w:val="24"/>
          <w:lang w:val="en-GB" w:eastAsia="en-GB"/>
        </w:rPr>
        <w:t>in deed</w:t>
      </w:r>
      <w:r w:rsidRPr="00F64509">
        <w:rPr>
          <w:rFonts w:asciiTheme="majorBidi" w:eastAsia="Times New Roman" w:hAnsiTheme="majorBidi" w:cstheme="majorBidi"/>
          <w:sz w:val="24"/>
          <w:szCs w:val="24"/>
          <w:lang w:val="en-GB" w:eastAsia="en-GB"/>
        </w:rPr>
        <w:t xml:space="preserve"> not doubted. (OC 342)</w:t>
      </w:r>
    </w:p>
    <w:p w14:paraId="1FFEC8E9" w14:textId="38BCB646" w:rsidR="00F71D40" w:rsidRPr="00F64509" w:rsidRDefault="00F71D40" w:rsidP="00F64509">
      <w:pPr>
        <w:spacing w:line="480" w:lineRule="auto"/>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i/>
          <w:sz w:val="24"/>
          <w:szCs w:val="24"/>
          <w:lang w:val="en-GB" w:eastAsia="en-GB"/>
        </w:rPr>
        <w:t>In</w:t>
      </w:r>
      <w:r w:rsidRPr="00F64509">
        <w:rPr>
          <w:rFonts w:asciiTheme="majorBidi" w:eastAsia="Times New Roman" w:hAnsiTheme="majorBidi" w:cstheme="majorBidi"/>
          <w:sz w:val="24"/>
          <w:szCs w:val="24"/>
          <w:lang w:val="en-GB" w:eastAsia="en-GB"/>
        </w:rPr>
        <w:t xml:space="preserve"> </w:t>
      </w:r>
      <w:r w:rsidRPr="00F64509">
        <w:rPr>
          <w:rFonts w:asciiTheme="majorBidi" w:eastAsia="Times New Roman" w:hAnsiTheme="majorBidi" w:cstheme="majorBidi"/>
          <w:i/>
          <w:sz w:val="24"/>
          <w:szCs w:val="24"/>
          <w:lang w:val="en-GB" w:eastAsia="en-GB"/>
        </w:rPr>
        <w:t xml:space="preserve">deed </w:t>
      </w:r>
      <w:r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i/>
          <w:sz w:val="24"/>
          <w:szCs w:val="24"/>
          <w:lang w:val="en-GB" w:eastAsia="en-GB"/>
        </w:rPr>
        <w:t>in der Tat</w:t>
      </w:r>
      <w:r w:rsidRPr="00F64509">
        <w:rPr>
          <w:rFonts w:asciiTheme="majorBidi" w:eastAsia="Times New Roman" w:hAnsiTheme="majorBidi" w:cstheme="majorBidi"/>
          <w:sz w:val="24"/>
          <w:szCs w:val="24"/>
          <w:lang w:val="en-GB" w:eastAsia="en-GB"/>
        </w:rPr>
        <w:t>] – in acting</w:t>
      </w:r>
      <w:r w:rsidRPr="00F64509">
        <w:rPr>
          <w:rFonts w:asciiTheme="majorBidi" w:eastAsia="Times New Roman" w:hAnsiTheme="majorBidi" w:cstheme="majorBidi"/>
          <w:i/>
          <w:sz w:val="24"/>
          <w:szCs w:val="24"/>
          <w:lang w:val="en-GB" w:eastAsia="en-GB"/>
        </w:rPr>
        <w:t xml:space="preserve"> –</w:t>
      </w:r>
      <w:r w:rsidRPr="00F64509">
        <w:rPr>
          <w:rFonts w:asciiTheme="majorBidi" w:eastAsia="Times New Roman" w:hAnsiTheme="majorBidi" w:cstheme="majorBidi"/>
          <w:sz w:val="24"/>
          <w:szCs w:val="24"/>
          <w:lang w:val="en-GB" w:eastAsia="en-GB"/>
        </w:rPr>
        <w:t xml:space="preserve"> certain things are not doubted. Logic is embedded in our practices – in our </w:t>
      </w:r>
      <w:r w:rsidRPr="00F64509">
        <w:rPr>
          <w:rFonts w:asciiTheme="majorBidi" w:eastAsia="Times New Roman" w:hAnsiTheme="majorBidi" w:cstheme="majorBidi"/>
          <w:i/>
          <w:sz w:val="24"/>
          <w:szCs w:val="24"/>
          <w:lang w:val="en-GB" w:eastAsia="en-GB"/>
        </w:rPr>
        <w:t>deeds</w:t>
      </w:r>
      <w:r w:rsidRPr="00F64509">
        <w:rPr>
          <w:rFonts w:asciiTheme="majorBidi" w:eastAsia="Times New Roman" w:hAnsiTheme="majorBidi" w:cstheme="majorBidi"/>
          <w:iCs/>
          <w:sz w:val="24"/>
          <w:szCs w:val="24"/>
          <w:lang w:val="en-GB" w:eastAsia="en-GB"/>
        </w:rPr>
        <w:t>:</w:t>
      </w:r>
      <w:r w:rsidRPr="00F64509">
        <w:rPr>
          <w:rFonts w:asciiTheme="majorBidi" w:eastAsia="Times New Roman" w:hAnsiTheme="majorBidi" w:cstheme="majorBidi"/>
          <w:sz w:val="24"/>
          <w:szCs w:val="24"/>
          <w:lang w:val="en-GB" w:eastAsia="en-GB"/>
        </w:rPr>
        <w:t xml:space="preserve"> </w:t>
      </w:r>
      <w:r w:rsidR="0018537E" w:rsidRPr="00F64509">
        <w:rPr>
          <w:rFonts w:asciiTheme="majorBidi" w:eastAsia="Times New Roman" w:hAnsiTheme="majorBidi" w:cstheme="majorBidi"/>
          <w:sz w:val="24"/>
          <w:szCs w:val="24"/>
          <w:lang w:val="en-GB" w:eastAsia="en-GB"/>
        </w:rPr>
        <w:t>“</w:t>
      </w:r>
      <w:r w:rsidRPr="00F64509">
        <w:rPr>
          <w:rFonts w:asciiTheme="majorBidi" w:eastAsia="Calibri" w:hAnsiTheme="majorBidi" w:cstheme="majorBidi"/>
          <w:sz w:val="24"/>
          <w:szCs w:val="24"/>
          <w:lang w:val="en-GB" w:bidi="sa-IN"/>
        </w:rPr>
        <w:t xml:space="preserve">Children do not learn that books exist, that armchairs, exist, etc., etc., – they learn to </w:t>
      </w:r>
      <w:r w:rsidRPr="00F64509">
        <w:rPr>
          <w:rFonts w:asciiTheme="majorBidi" w:eastAsia="Calibri" w:hAnsiTheme="majorBidi" w:cstheme="majorBidi"/>
          <w:i/>
          <w:iCs/>
          <w:sz w:val="24"/>
          <w:szCs w:val="24"/>
          <w:lang w:val="en-GB" w:bidi="sa-IN"/>
        </w:rPr>
        <w:t>fetch</w:t>
      </w:r>
      <w:r w:rsidRPr="00F64509">
        <w:rPr>
          <w:rFonts w:asciiTheme="majorBidi" w:eastAsia="Calibri" w:hAnsiTheme="majorBidi" w:cstheme="majorBidi"/>
          <w:sz w:val="24"/>
          <w:szCs w:val="24"/>
          <w:lang w:val="en-GB" w:bidi="sa-IN"/>
        </w:rPr>
        <w:t xml:space="preserve"> books, </w:t>
      </w:r>
      <w:r w:rsidRPr="00F64509">
        <w:rPr>
          <w:rFonts w:asciiTheme="majorBidi" w:eastAsia="Calibri" w:hAnsiTheme="majorBidi" w:cstheme="majorBidi"/>
          <w:i/>
          <w:iCs/>
          <w:sz w:val="24"/>
          <w:szCs w:val="24"/>
          <w:lang w:val="en-GB" w:bidi="sa-IN"/>
        </w:rPr>
        <w:t xml:space="preserve">sit </w:t>
      </w:r>
      <w:r w:rsidRPr="00F64509">
        <w:rPr>
          <w:rFonts w:asciiTheme="majorBidi" w:eastAsia="Calibri" w:hAnsiTheme="majorBidi" w:cstheme="majorBidi"/>
          <w:sz w:val="24"/>
          <w:szCs w:val="24"/>
          <w:lang w:val="en-GB" w:bidi="sa-IN"/>
        </w:rPr>
        <w:t>in armchairs, etc., etc.</w:t>
      </w:r>
      <w:r w:rsidR="0018537E" w:rsidRPr="00F64509">
        <w:rPr>
          <w:rFonts w:asciiTheme="majorBidi" w:eastAsia="Calibri" w:hAnsiTheme="majorBidi" w:cstheme="majorBidi"/>
          <w:sz w:val="24"/>
          <w:szCs w:val="24"/>
          <w:lang w:val="en-GB" w:bidi="sa-IN"/>
        </w:rPr>
        <w:t>”</w:t>
      </w:r>
      <w:r w:rsidRPr="00F64509">
        <w:rPr>
          <w:rFonts w:asciiTheme="majorBidi" w:eastAsia="Calibri" w:hAnsiTheme="majorBidi" w:cstheme="majorBidi"/>
          <w:sz w:val="24"/>
          <w:szCs w:val="24"/>
          <w:lang w:val="en-GB" w:bidi="sa-IN"/>
        </w:rPr>
        <w:t xml:space="preserve"> (OC 476; my emphasis)</w:t>
      </w:r>
      <w:r w:rsidRPr="00F64509">
        <w:rPr>
          <w:rFonts w:asciiTheme="majorBidi" w:eastAsia="Times New Roman" w:hAnsiTheme="majorBidi" w:cstheme="majorBidi"/>
          <w:sz w:val="24"/>
          <w:szCs w:val="24"/>
          <w:lang w:val="en-GB" w:eastAsia="en-GB"/>
        </w:rPr>
        <w:t xml:space="preserve">. Our life, </w:t>
      </w:r>
      <w:r w:rsidRPr="00F64509">
        <w:rPr>
          <w:rFonts w:asciiTheme="majorBidi" w:eastAsia="Times New Roman" w:hAnsiTheme="majorBidi" w:cstheme="majorBidi"/>
          <w:i/>
          <w:sz w:val="24"/>
          <w:szCs w:val="24"/>
          <w:lang w:val="en-GB" w:eastAsia="en-GB"/>
        </w:rPr>
        <w:t>our deeds,</w:t>
      </w:r>
      <w:r w:rsidRPr="00F64509">
        <w:rPr>
          <w:rFonts w:asciiTheme="majorBidi" w:eastAsia="Times New Roman" w:hAnsiTheme="majorBidi" w:cstheme="majorBidi"/>
          <w:sz w:val="24"/>
          <w:szCs w:val="24"/>
          <w:lang w:val="en-GB" w:eastAsia="en-GB"/>
        </w:rPr>
        <w:t xml:space="preserve"> show that we do not, </w:t>
      </w:r>
      <w:r w:rsidRPr="00F64509">
        <w:rPr>
          <w:rFonts w:asciiTheme="majorBidi" w:eastAsia="Times New Roman" w:hAnsiTheme="majorBidi" w:cstheme="majorBidi"/>
          <w:i/>
          <w:sz w:val="24"/>
          <w:szCs w:val="24"/>
          <w:lang w:val="en-GB" w:eastAsia="en-GB"/>
        </w:rPr>
        <w:t>cannot,</w:t>
      </w:r>
      <w:r w:rsidRPr="00F64509">
        <w:rPr>
          <w:rFonts w:asciiTheme="majorBidi" w:eastAsia="Times New Roman" w:hAnsiTheme="majorBidi" w:cstheme="majorBidi"/>
          <w:sz w:val="24"/>
          <w:szCs w:val="24"/>
          <w:lang w:val="en-GB" w:eastAsia="en-GB"/>
        </w:rPr>
        <w:t xml:space="preserve"> doubt some things if we are to proceed to doubt and knowledge.</w:t>
      </w:r>
    </w:p>
    <w:p w14:paraId="7815AC49" w14:textId="21D31C7F" w:rsidR="0064103D" w:rsidRPr="00F64509" w:rsidRDefault="00F71D40" w:rsidP="00F64509">
      <w:pPr>
        <w:spacing w:line="480" w:lineRule="auto"/>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t xml:space="preserve">As we have </w:t>
      </w:r>
      <w:r w:rsidR="00F30BD1" w:rsidRPr="00F64509">
        <w:rPr>
          <w:rFonts w:asciiTheme="majorBidi" w:eastAsia="Times New Roman" w:hAnsiTheme="majorBidi" w:cstheme="majorBidi"/>
          <w:sz w:val="24"/>
          <w:szCs w:val="24"/>
          <w:lang w:val="en-GB" w:eastAsia="en-GB"/>
        </w:rPr>
        <w:t xml:space="preserve">just </w:t>
      </w:r>
      <w:r w:rsidRPr="00F64509">
        <w:rPr>
          <w:rFonts w:asciiTheme="majorBidi" w:eastAsia="Times New Roman" w:hAnsiTheme="majorBidi" w:cstheme="majorBidi"/>
          <w:sz w:val="24"/>
          <w:szCs w:val="24"/>
          <w:lang w:val="en-GB" w:eastAsia="en-GB"/>
        </w:rPr>
        <w:t xml:space="preserve">seen, </w:t>
      </w:r>
      <w:r w:rsidR="0078023A" w:rsidRPr="00F64509">
        <w:rPr>
          <w:rFonts w:asciiTheme="majorBidi" w:eastAsia="Times New Roman" w:hAnsiTheme="majorBidi" w:cstheme="majorBidi"/>
          <w:sz w:val="24"/>
          <w:szCs w:val="24"/>
          <w:lang w:val="en-GB" w:eastAsia="en-GB"/>
        </w:rPr>
        <w:t xml:space="preserve">Wittgenstein describes the </w:t>
      </w:r>
      <w:bookmarkStart w:id="8" w:name="_Hlk209576866"/>
      <w:r w:rsidR="0078023A" w:rsidRPr="00F64509">
        <w:rPr>
          <w:rFonts w:asciiTheme="majorBidi" w:eastAsia="Times New Roman" w:hAnsiTheme="majorBidi" w:cstheme="majorBidi"/>
          <w:sz w:val="24"/>
          <w:szCs w:val="24"/>
          <w:lang w:val="en-GB" w:eastAsia="en-GB"/>
        </w:rPr>
        <w:t>arationality</w:t>
      </w:r>
      <w:r w:rsidR="0064103D" w:rsidRPr="00F64509">
        <w:rPr>
          <w:rFonts w:asciiTheme="majorBidi" w:eastAsia="Times New Roman" w:hAnsiTheme="majorBidi" w:cstheme="majorBidi"/>
          <w:sz w:val="24"/>
          <w:szCs w:val="24"/>
          <w:lang w:val="en-GB" w:eastAsia="en-GB"/>
        </w:rPr>
        <w:t xml:space="preserve"> </w:t>
      </w:r>
      <w:bookmarkEnd w:id="8"/>
      <w:r w:rsidR="0078023A" w:rsidRPr="00F64509">
        <w:rPr>
          <w:rFonts w:asciiTheme="majorBidi" w:eastAsia="Times New Roman" w:hAnsiTheme="majorBidi" w:cstheme="majorBidi"/>
          <w:sz w:val="24"/>
          <w:szCs w:val="24"/>
          <w:lang w:val="en-GB" w:eastAsia="en-GB"/>
        </w:rPr>
        <w:t xml:space="preserve">of hinge certainty </w:t>
      </w:r>
      <w:r w:rsidR="0080623F" w:rsidRPr="00F64509">
        <w:rPr>
          <w:rFonts w:asciiTheme="majorBidi" w:eastAsia="Times New Roman" w:hAnsiTheme="majorBidi" w:cstheme="majorBidi"/>
          <w:sz w:val="24"/>
          <w:szCs w:val="24"/>
          <w:lang w:val="en-GB" w:eastAsia="en-GB"/>
        </w:rPr>
        <w:t>in terms of</w:t>
      </w:r>
      <w:r w:rsidR="0078023A" w:rsidRPr="00F64509">
        <w:rPr>
          <w:rFonts w:asciiTheme="majorBidi" w:eastAsia="Times New Roman" w:hAnsiTheme="majorBidi" w:cstheme="majorBidi"/>
          <w:sz w:val="24"/>
          <w:szCs w:val="24"/>
          <w:lang w:val="en-GB" w:eastAsia="en-GB"/>
        </w:rPr>
        <w:t xml:space="preserve"> </w:t>
      </w:r>
      <w:r w:rsidR="0018537E" w:rsidRPr="00F64509">
        <w:rPr>
          <w:rFonts w:asciiTheme="majorBidi" w:eastAsia="Times New Roman" w:hAnsiTheme="majorBidi" w:cstheme="majorBidi"/>
          <w:sz w:val="24"/>
          <w:szCs w:val="24"/>
          <w:lang w:val="en-GB" w:eastAsia="en-GB"/>
        </w:rPr>
        <w:t>“</w:t>
      </w:r>
      <w:r w:rsidR="0078023A" w:rsidRPr="00F64509">
        <w:rPr>
          <w:rFonts w:asciiTheme="majorBidi" w:eastAsia="Times New Roman" w:hAnsiTheme="majorBidi" w:cstheme="majorBidi"/>
          <w:sz w:val="24"/>
          <w:szCs w:val="24"/>
          <w:lang w:val="en-GB" w:eastAsia="en-GB"/>
        </w:rPr>
        <w:t>something animal</w:t>
      </w:r>
      <w:r w:rsidR="001853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and </w:t>
      </w:r>
      <w:r w:rsidR="005D0E0B" w:rsidRPr="00F64509">
        <w:rPr>
          <w:rFonts w:asciiTheme="majorBidi" w:eastAsia="Times New Roman" w:hAnsiTheme="majorBidi" w:cstheme="majorBidi"/>
          <w:sz w:val="24"/>
          <w:szCs w:val="24"/>
          <w:lang w:val="en-GB" w:eastAsia="en-GB"/>
        </w:rPr>
        <w:t>in terms of action</w:t>
      </w:r>
      <w:r w:rsidR="006764DC" w:rsidRPr="00F64509">
        <w:rPr>
          <w:rFonts w:asciiTheme="majorBidi" w:eastAsia="Times New Roman" w:hAnsiTheme="majorBidi" w:cstheme="majorBidi"/>
          <w:sz w:val="24"/>
          <w:szCs w:val="24"/>
          <w:lang w:val="en-GB" w:eastAsia="en-GB"/>
        </w:rPr>
        <w:t>, but he also describes it</w:t>
      </w:r>
      <w:r w:rsidR="0078023A" w:rsidRPr="00F64509">
        <w:rPr>
          <w:rFonts w:asciiTheme="majorBidi" w:eastAsia="Times New Roman" w:hAnsiTheme="majorBidi" w:cstheme="majorBidi"/>
          <w:sz w:val="24"/>
          <w:szCs w:val="24"/>
          <w:lang w:val="en-GB" w:eastAsia="en-GB"/>
        </w:rPr>
        <w:t xml:space="preserve"> </w:t>
      </w:r>
      <w:r w:rsidR="006764DC" w:rsidRPr="00F64509">
        <w:rPr>
          <w:rFonts w:asciiTheme="majorBidi" w:eastAsia="Times New Roman" w:hAnsiTheme="majorBidi" w:cstheme="majorBidi"/>
          <w:sz w:val="24"/>
          <w:szCs w:val="24"/>
          <w:lang w:val="en-GB" w:eastAsia="en-GB"/>
        </w:rPr>
        <w:t>as</w:t>
      </w:r>
      <w:r w:rsidR="0078023A" w:rsidRPr="00F64509">
        <w:rPr>
          <w:rFonts w:asciiTheme="majorBidi" w:eastAsia="Times New Roman" w:hAnsiTheme="majorBidi" w:cstheme="majorBidi"/>
          <w:sz w:val="24"/>
          <w:szCs w:val="24"/>
          <w:lang w:val="en-GB" w:eastAsia="en-GB"/>
        </w:rPr>
        <w:t xml:space="preserve"> </w:t>
      </w:r>
      <w:r w:rsidR="001F0B4C" w:rsidRPr="00F64509">
        <w:rPr>
          <w:rFonts w:asciiTheme="majorBidi" w:eastAsia="Times New Roman" w:hAnsiTheme="majorBidi" w:cstheme="majorBidi"/>
          <w:sz w:val="24"/>
          <w:szCs w:val="24"/>
          <w:lang w:val="en-GB" w:eastAsia="en-GB"/>
        </w:rPr>
        <w:t>something</w:t>
      </w:r>
      <w:r w:rsidR="0078023A" w:rsidRPr="00F64509">
        <w:rPr>
          <w:rFonts w:asciiTheme="majorBidi" w:eastAsia="Times New Roman" w:hAnsiTheme="majorBidi" w:cstheme="majorBidi"/>
          <w:sz w:val="24"/>
          <w:szCs w:val="24"/>
          <w:lang w:val="en-GB" w:eastAsia="en-GB"/>
        </w:rPr>
        <w:t xml:space="preserve"> logical</w:t>
      </w:r>
      <w:r w:rsidR="001F0B4C" w:rsidRPr="00F64509">
        <w:rPr>
          <w:rFonts w:asciiTheme="majorBidi" w:eastAsia="Times New Roman" w:hAnsiTheme="majorBidi" w:cstheme="majorBidi"/>
          <w:sz w:val="24"/>
          <w:szCs w:val="24"/>
          <w:lang w:val="en-GB" w:eastAsia="en-GB"/>
        </w:rPr>
        <w:t xml:space="preserve"> (cf. OC 56-59)</w:t>
      </w:r>
      <w:r w:rsidR="0080623F" w:rsidRPr="00F64509">
        <w:rPr>
          <w:rFonts w:asciiTheme="majorBidi" w:eastAsia="Times New Roman" w:hAnsiTheme="majorBidi" w:cstheme="majorBidi"/>
          <w:sz w:val="24"/>
          <w:szCs w:val="24"/>
          <w:lang w:val="en-GB" w:eastAsia="en-GB"/>
        </w:rPr>
        <w:t xml:space="preserve">. Hinge certainties are instinctive or nonratiocinated ways of acting which, when formulated, </w:t>
      </w:r>
      <w:r w:rsidR="006764DC" w:rsidRPr="00F64509">
        <w:rPr>
          <w:rFonts w:asciiTheme="majorBidi" w:eastAsia="Times New Roman" w:hAnsiTheme="majorBidi" w:cstheme="majorBidi"/>
          <w:sz w:val="24"/>
          <w:szCs w:val="24"/>
          <w:lang w:val="en-GB" w:eastAsia="en-GB"/>
        </w:rPr>
        <w:t>do not have the status of</w:t>
      </w:r>
      <w:r w:rsidR="0080623F" w:rsidRPr="00F64509">
        <w:rPr>
          <w:rFonts w:asciiTheme="majorBidi" w:eastAsia="Times New Roman" w:hAnsiTheme="majorBidi" w:cstheme="majorBidi"/>
          <w:sz w:val="24"/>
          <w:szCs w:val="24"/>
          <w:lang w:val="en-GB" w:eastAsia="en-GB"/>
        </w:rPr>
        <w:t xml:space="preserve"> empirical propositions but</w:t>
      </w:r>
      <w:r w:rsidR="006764DC" w:rsidRPr="00F64509">
        <w:rPr>
          <w:rFonts w:asciiTheme="majorBidi" w:eastAsia="Times New Roman" w:hAnsiTheme="majorBidi" w:cstheme="majorBidi"/>
          <w:sz w:val="24"/>
          <w:szCs w:val="24"/>
          <w:lang w:val="en-GB" w:eastAsia="en-GB"/>
        </w:rPr>
        <w:t xml:space="preserve"> of rules of grammar</w:t>
      </w:r>
      <w:r w:rsidR="0064103D" w:rsidRPr="00F64509">
        <w:rPr>
          <w:rFonts w:asciiTheme="majorBidi" w:eastAsia="Times New Roman" w:hAnsiTheme="majorBidi" w:cstheme="majorBidi"/>
          <w:sz w:val="24"/>
          <w:szCs w:val="24"/>
          <w:lang w:val="en-GB" w:eastAsia="en-GB"/>
        </w:rPr>
        <w:t>:</w:t>
      </w:r>
      <w:r w:rsidR="006764DC" w:rsidRPr="00F64509">
        <w:rPr>
          <w:rFonts w:asciiTheme="majorBidi" w:eastAsia="Times New Roman" w:hAnsiTheme="majorBidi" w:cstheme="majorBidi"/>
          <w:sz w:val="24"/>
          <w:szCs w:val="24"/>
          <w:lang w:val="en-GB" w:eastAsia="en-GB"/>
        </w:rPr>
        <w:t xml:space="preserve"> they </w:t>
      </w:r>
      <w:r w:rsidR="0018537E" w:rsidRPr="00F64509">
        <w:rPr>
          <w:rFonts w:asciiTheme="majorBidi" w:eastAsia="Times New Roman" w:hAnsiTheme="majorBidi" w:cstheme="majorBidi"/>
          <w:sz w:val="24"/>
          <w:szCs w:val="24"/>
          <w:lang w:val="en-GB" w:eastAsia="en-GB"/>
        </w:rPr>
        <w:t>“</w:t>
      </w:r>
      <w:r w:rsidR="001F0B4C" w:rsidRPr="00F64509">
        <w:rPr>
          <w:rFonts w:asciiTheme="majorBidi" w:eastAsia="Times New Roman" w:hAnsiTheme="majorBidi" w:cstheme="majorBidi"/>
          <w:sz w:val="24"/>
          <w:szCs w:val="24"/>
          <w:lang w:val="en-GB" w:eastAsia="en-GB"/>
        </w:rPr>
        <w:t>have a peculiar logical role in the system of our empirical propositions</w:t>
      </w:r>
      <w:r w:rsidR="0018537E" w:rsidRPr="00F64509">
        <w:rPr>
          <w:rFonts w:asciiTheme="majorBidi" w:eastAsia="Times New Roman" w:hAnsiTheme="majorBidi" w:cstheme="majorBidi"/>
          <w:sz w:val="24"/>
          <w:szCs w:val="24"/>
          <w:lang w:val="en-GB" w:eastAsia="en-GB"/>
        </w:rPr>
        <w:t>”</w:t>
      </w:r>
      <w:r w:rsidR="001F0B4C" w:rsidRPr="00F64509">
        <w:rPr>
          <w:rFonts w:asciiTheme="majorBidi" w:eastAsia="Times New Roman" w:hAnsiTheme="majorBidi" w:cstheme="majorBidi"/>
          <w:sz w:val="24"/>
          <w:szCs w:val="24"/>
          <w:lang w:val="en-GB" w:eastAsia="en-GB"/>
        </w:rPr>
        <w:t xml:space="preserve"> (OC 136)</w:t>
      </w:r>
      <w:r w:rsidR="0080623F" w:rsidRPr="00F64509">
        <w:rPr>
          <w:rFonts w:asciiTheme="majorBidi" w:eastAsia="Times New Roman" w:hAnsiTheme="majorBidi" w:cstheme="majorBidi"/>
          <w:sz w:val="24"/>
          <w:szCs w:val="24"/>
          <w:lang w:val="en-GB" w:eastAsia="en-GB"/>
        </w:rPr>
        <w:t xml:space="preserve">. </w:t>
      </w:r>
      <w:r w:rsidR="003A431B" w:rsidRPr="00F64509">
        <w:rPr>
          <w:rFonts w:asciiTheme="majorBidi" w:eastAsia="Times New Roman" w:hAnsiTheme="majorBidi" w:cstheme="majorBidi"/>
          <w:sz w:val="24"/>
          <w:szCs w:val="24"/>
          <w:lang w:val="en-GB" w:eastAsia="en-GB"/>
        </w:rPr>
        <w:t xml:space="preserve">Our </w:t>
      </w:r>
      <w:r w:rsidR="0080623F" w:rsidRPr="00F64509">
        <w:rPr>
          <w:rFonts w:asciiTheme="majorBidi" w:eastAsia="Times New Roman" w:hAnsiTheme="majorBidi" w:cstheme="majorBidi"/>
          <w:sz w:val="24"/>
          <w:szCs w:val="24"/>
          <w:lang w:val="en-GB" w:eastAsia="en-GB"/>
        </w:rPr>
        <w:t xml:space="preserve">having a body is an animal certainty for </w:t>
      </w:r>
      <w:r w:rsidR="003A431B" w:rsidRPr="00F64509">
        <w:rPr>
          <w:rFonts w:asciiTheme="majorBidi" w:eastAsia="Times New Roman" w:hAnsiTheme="majorBidi" w:cstheme="majorBidi"/>
          <w:sz w:val="24"/>
          <w:szCs w:val="24"/>
          <w:lang w:val="en-GB" w:eastAsia="en-GB"/>
        </w:rPr>
        <w:t>us</w:t>
      </w:r>
      <w:r w:rsidR="003F068D">
        <w:rPr>
          <w:rFonts w:asciiTheme="majorBidi" w:eastAsia="Times New Roman" w:hAnsiTheme="majorBidi" w:cstheme="majorBidi"/>
          <w:sz w:val="24"/>
          <w:szCs w:val="24"/>
          <w:lang w:val="en-GB" w:eastAsia="en-GB"/>
        </w:rPr>
        <w:t>,</w:t>
      </w:r>
      <w:r w:rsidR="003A431B" w:rsidRPr="00F64509">
        <w:rPr>
          <w:rFonts w:asciiTheme="majorBidi" w:eastAsia="Times New Roman" w:hAnsiTheme="majorBidi" w:cstheme="majorBidi"/>
          <w:sz w:val="24"/>
          <w:szCs w:val="24"/>
          <w:lang w:val="en-GB" w:eastAsia="en-GB"/>
        </w:rPr>
        <w:t xml:space="preserve"> </w:t>
      </w:r>
      <w:r w:rsidR="00005351" w:rsidRPr="00F64509">
        <w:rPr>
          <w:rFonts w:asciiTheme="majorBidi" w:eastAsia="Times New Roman" w:hAnsiTheme="majorBidi" w:cstheme="majorBidi"/>
          <w:sz w:val="24"/>
          <w:szCs w:val="24"/>
          <w:lang w:val="en-GB" w:eastAsia="en-GB"/>
        </w:rPr>
        <w:t xml:space="preserve">and </w:t>
      </w:r>
      <w:r w:rsidR="003A431B" w:rsidRPr="00F64509">
        <w:rPr>
          <w:rFonts w:asciiTheme="majorBidi" w:eastAsia="Times New Roman" w:hAnsiTheme="majorBidi" w:cstheme="majorBidi"/>
          <w:sz w:val="24"/>
          <w:szCs w:val="24"/>
          <w:lang w:val="en-GB" w:eastAsia="en-GB"/>
        </w:rPr>
        <w:t xml:space="preserve">the </w:t>
      </w:r>
      <w:r w:rsidR="00005351" w:rsidRPr="00F64509">
        <w:rPr>
          <w:rFonts w:asciiTheme="majorBidi" w:eastAsia="Times New Roman" w:hAnsiTheme="majorBidi" w:cstheme="majorBidi"/>
          <w:sz w:val="24"/>
          <w:szCs w:val="24"/>
          <w:lang w:val="en-GB" w:eastAsia="en-GB"/>
        </w:rPr>
        <w:t xml:space="preserve">formulation of this certainty does not make it into an empirical proposition but a rule of </w:t>
      </w:r>
      <w:r w:rsidR="00F30BD1" w:rsidRPr="00F64509">
        <w:rPr>
          <w:rFonts w:asciiTheme="majorBidi" w:eastAsia="Times New Roman" w:hAnsiTheme="majorBidi" w:cstheme="majorBidi"/>
          <w:sz w:val="24"/>
          <w:szCs w:val="24"/>
          <w:lang w:val="en-GB" w:eastAsia="en-GB"/>
        </w:rPr>
        <w:t>logic/</w:t>
      </w:r>
      <w:r w:rsidR="00005351" w:rsidRPr="00F64509">
        <w:rPr>
          <w:rFonts w:asciiTheme="majorBidi" w:eastAsia="Times New Roman" w:hAnsiTheme="majorBidi" w:cstheme="majorBidi"/>
          <w:sz w:val="24"/>
          <w:szCs w:val="24"/>
          <w:lang w:val="en-GB" w:eastAsia="en-GB"/>
        </w:rPr>
        <w:t>grammar</w:t>
      </w:r>
      <w:r w:rsidR="000613A0" w:rsidRPr="00F64509">
        <w:rPr>
          <w:rFonts w:asciiTheme="majorBidi" w:eastAsia="Times New Roman" w:hAnsiTheme="majorBidi" w:cstheme="majorBidi"/>
          <w:sz w:val="24"/>
          <w:szCs w:val="24"/>
          <w:lang w:val="en-GB" w:eastAsia="en-GB"/>
        </w:rPr>
        <w:t xml:space="preserve">. </w:t>
      </w:r>
      <w:r w:rsidR="00005351" w:rsidRPr="00F64509">
        <w:rPr>
          <w:rFonts w:asciiTheme="majorBidi" w:eastAsia="Times New Roman" w:hAnsiTheme="majorBidi" w:cstheme="majorBidi"/>
          <w:sz w:val="24"/>
          <w:szCs w:val="24"/>
          <w:lang w:val="en-GB" w:eastAsia="en-GB"/>
        </w:rPr>
        <w:t>Hinges are</w:t>
      </w:r>
      <w:r w:rsidR="000613A0" w:rsidRPr="00F64509">
        <w:rPr>
          <w:rFonts w:asciiTheme="majorBidi" w:eastAsia="Times New Roman" w:hAnsiTheme="majorBidi" w:cstheme="majorBidi"/>
          <w:sz w:val="24"/>
          <w:szCs w:val="24"/>
          <w:lang w:val="en-GB" w:eastAsia="en-GB"/>
        </w:rPr>
        <w:t xml:space="preserve"> as little an object of </w:t>
      </w:r>
      <w:r w:rsidR="00E6505D" w:rsidRPr="00F64509">
        <w:rPr>
          <w:rFonts w:asciiTheme="majorBidi" w:eastAsia="Times New Roman" w:hAnsiTheme="majorBidi" w:cstheme="majorBidi"/>
          <w:sz w:val="24"/>
          <w:szCs w:val="24"/>
          <w:lang w:val="en-GB" w:eastAsia="en-GB"/>
        </w:rPr>
        <w:t>reasoning</w:t>
      </w:r>
      <w:r w:rsidR="000613A0" w:rsidRPr="00F64509">
        <w:rPr>
          <w:rFonts w:asciiTheme="majorBidi" w:eastAsia="Times New Roman" w:hAnsiTheme="majorBidi" w:cstheme="majorBidi"/>
          <w:sz w:val="24"/>
          <w:szCs w:val="24"/>
          <w:lang w:val="en-GB" w:eastAsia="en-GB"/>
        </w:rPr>
        <w:t xml:space="preserve"> as </w:t>
      </w:r>
      <w:r w:rsidR="0018537E" w:rsidRPr="00F64509">
        <w:rPr>
          <w:rFonts w:asciiTheme="majorBidi" w:eastAsia="Times New Roman" w:hAnsiTheme="majorBidi" w:cstheme="majorBidi"/>
          <w:sz w:val="24"/>
          <w:szCs w:val="24"/>
          <w:lang w:val="en-GB" w:eastAsia="en-GB"/>
        </w:rPr>
        <w:t>“</w:t>
      </w:r>
      <w:r w:rsidR="000613A0" w:rsidRPr="00F64509">
        <w:rPr>
          <w:rFonts w:asciiTheme="majorBidi" w:eastAsia="Times New Roman" w:hAnsiTheme="majorBidi" w:cstheme="majorBidi"/>
          <w:sz w:val="24"/>
          <w:szCs w:val="24"/>
          <w:lang w:val="en-GB" w:eastAsia="en-GB"/>
        </w:rPr>
        <w:t>2+2=4</w:t>
      </w:r>
      <w:r w:rsidR="0018537E" w:rsidRPr="00F64509">
        <w:rPr>
          <w:rFonts w:asciiTheme="majorBidi" w:eastAsia="Times New Roman" w:hAnsiTheme="majorBidi" w:cstheme="majorBidi"/>
          <w:sz w:val="24"/>
          <w:szCs w:val="24"/>
          <w:lang w:val="en-GB" w:eastAsia="en-GB"/>
        </w:rPr>
        <w:t>”</w:t>
      </w:r>
      <w:r w:rsidR="00E6505D" w:rsidRPr="00F64509">
        <w:rPr>
          <w:rFonts w:asciiTheme="majorBidi" w:eastAsia="Times New Roman" w:hAnsiTheme="majorBidi" w:cstheme="majorBidi"/>
          <w:sz w:val="24"/>
          <w:szCs w:val="24"/>
          <w:lang w:val="en-GB" w:eastAsia="en-GB"/>
        </w:rPr>
        <w:t>.</w:t>
      </w:r>
    </w:p>
    <w:p w14:paraId="0B53C10B" w14:textId="54F8C7F9" w:rsidR="00E92AA8" w:rsidRPr="00F64509" w:rsidRDefault="00E92AA8" w:rsidP="00F64509">
      <w:pPr>
        <w:spacing w:line="480" w:lineRule="auto"/>
        <w:jc w:val="both"/>
        <w:rPr>
          <w:rFonts w:asciiTheme="majorBidi" w:eastAsia="Calibri" w:hAnsiTheme="majorBidi" w:cstheme="majorBidi"/>
          <w:sz w:val="24"/>
          <w:szCs w:val="24"/>
          <w:lang w:val="en-GB"/>
        </w:rPr>
      </w:pPr>
      <w:r w:rsidRPr="00F64509">
        <w:rPr>
          <w:rFonts w:asciiTheme="majorBidi" w:eastAsia="Calibri" w:hAnsiTheme="majorBidi" w:cstheme="majorBidi"/>
          <w:sz w:val="24"/>
          <w:szCs w:val="24"/>
          <w:lang w:val="en-GB"/>
        </w:rPr>
        <w:t>In order for our words and deeds to make sense, we must take such certainties</w:t>
      </w:r>
      <w:r w:rsidRPr="00F64509">
        <w:rPr>
          <w:rFonts w:asciiTheme="majorBidi" w:eastAsia="Calibri" w:hAnsiTheme="majorBidi" w:cstheme="majorBidi"/>
          <w:color w:val="FF0000"/>
          <w:sz w:val="24"/>
          <w:szCs w:val="24"/>
          <w:lang w:val="en-GB"/>
        </w:rPr>
        <w:t xml:space="preserve"> </w:t>
      </w:r>
      <w:r w:rsidRPr="00F64509">
        <w:rPr>
          <w:rFonts w:asciiTheme="majorBidi" w:eastAsia="Calibri" w:hAnsiTheme="majorBidi" w:cstheme="majorBidi"/>
          <w:sz w:val="24"/>
          <w:szCs w:val="24"/>
          <w:lang w:val="en-GB"/>
        </w:rPr>
        <w:t xml:space="preserve">as </w:t>
      </w:r>
      <w:r w:rsidR="000613A0" w:rsidRPr="00F64509">
        <w:rPr>
          <w:rFonts w:asciiTheme="majorBidi" w:eastAsia="Calibri" w:hAnsiTheme="majorBidi" w:cstheme="majorBidi"/>
          <w:i/>
          <w:iCs/>
          <w:sz w:val="24"/>
          <w:szCs w:val="24"/>
          <w:lang w:val="en-GB"/>
        </w:rPr>
        <w:t>grammatical</w:t>
      </w:r>
      <w:r w:rsidR="00C23AF8" w:rsidRPr="00F64509">
        <w:rPr>
          <w:rFonts w:asciiTheme="majorBidi" w:eastAsia="Calibri" w:hAnsiTheme="majorBidi" w:cstheme="majorBidi"/>
          <w:sz w:val="24"/>
          <w:szCs w:val="24"/>
          <w:lang w:val="en-GB"/>
        </w:rPr>
        <w:t xml:space="preserve">, not </w:t>
      </w:r>
      <w:r w:rsidR="003F068D">
        <w:rPr>
          <w:rFonts w:asciiTheme="majorBidi" w:eastAsia="Calibri" w:hAnsiTheme="majorBidi" w:cstheme="majorBidi"/>
          <w:sz w:val="24"/>
          <w:szCs w:val="24"/>
          <w:lang w:val="en-GB"/>
        </w:rPr>
        <w:t xml:space="preserve">as </w:t>
      </w:r>
      <w:r w:rsidR="007E2B79" w:rsidRPr="00F64509">
        <w:rPr>
          <w:rFonts w:asciiTheme="majorBidi" w:eastAsia="Calibri" w:hAnsiTheme="majorBidi" w:cstheme="majorBidi"/>
          <w:sz w:val="24"/>
          <w:szCs w:val="24"/>
          <w:lang w:val="en-GB"/>
        </w:rPr>
        <w:t>empirical</w:t>
      </w:r>
      <w:r w:rsidR="00C23AF8" w:rsidRPr="00F64509">
        <w:rPr>
          <w:rFonts w:asciiTheme="majorBidi" w:eastAsia="Calibri" w:hAnsiTheme="majorBidi" w:cstheme="majorBidi"/>
          <w:sz w:val="24"/>
          <w:szCs w:val="24"/>
          <w:lang w:val="en-GB"/>
        </w:rPr>
        <w:t>,</w:t>
      </w:r>
      <w:r w:rsidR="000613A0" w:rsidRPr="00F64509">
        <w:rPr>
          <w:rFonts w:asciiTheme="majorBidi" w:eastAsia="Calibri" w:hAnsiTheme="majorBidi" w:cstheme="majorBidi"/>
          <w:sz w:val="24"/>
          <w:szCs w:val="24"/>
          <w:lang w:val="en-GB"/>
        </w:rPr>
        <w:t xml:space="preserve"> </w:t>
      </w:r>
      <w:r w:rsidRPr="00F64509">
        <w:rPr>
          <w:rFonts w:asciiTheme="majorBidi" w:eastAsia="Calibri" w:hAnsiTheme="majorBidi" w:cstheme="majorBidi"/>
          <w:sz w:val="24"/>
          <w:szCs w:val="24"/>
          <w:lang w:val="en-GB"/>
        </w:rPr>
        <w:t>starting</w:t>
      </w:r>
      <w:r w:rsidR="00C23AF8" w:rsidRPr="00F64509">
        <w:rPr>
          <w:rFonts w:asciiTheme="majorBidi" w:eastAsia="Calibri" w:hAnsiTheme="majorBidi" w:cstheme="majorBidi"/>
          <w:sz w:val="24"/>
          <w:szCs w:val="24"/>
          <w:lang w:val="en-GB"/>
        </w:rPr>
        <w:t xml:space="preserve"> </w:t>
      </w:r>
      <w:r w:rsidRPr="00F64509">
        <w:rPr>
          <w:rFonts w:asciiTheme="majorBidi" w:eastAsia="Calibri" w:hAnsiTheme="majorBidi" w:cstheme="majorBidi"/>
          <w:sz w:val="24"/>
          <w:szCs w:val="24"/>
          <w:lang w:val="en-GB"/>
        </w:rPr>
        <w:t>points</w:t>
      </w:r>
      <w:r w:rsidR="00C23AF8" w:rsidRPr="00F64509">
        <w:rPr>
          <w:rFonts w:asciiTheme="majorBidi" w:eastAsia="Calibri" w:hAnsiTheme="majorBidi" w:cstheme="majorBidi"/>
          <w:sz w:val="24"/>
          <w:szCs w:val="24"/>
          <w:lang w:val="en-GB"/>
        </w:rPr>
        <w:t xml:space="preserve">: </w:t>
      </w:r>
      <w:r w:rsidR="0018537E" w:rsidRPr="00F64509">
        <w:rPr>
          <w:rFonts w:asciiTheme="majorBidi" w:eastAsia="Calibri" w:hAnsiTheme="majorBidi" w:cstheme="majorBidi"/>
          <w:sz w:val="24"/>
          <w:szCs w:val="24"/>
          <w:lang w:val="en-GB"/>
        </w:rPr>
        <w:t>“</w:t>
      </w:r>
      <w:r w:rsidR="00C23AF8" w:rsidRPr="00F64509">
        <w:rPr>
          <w:rFonts w:asciiTheme="majorBidi" w:eastAsia="Calibri" w:hAnsiTheme="majorBidi" w:cstheme="majorBidi"/>
          <w:sz w:val="24"/>
          <w:szCs w:val="24"/>
          <w:lang w:val="en-GB"/>
        </w:rPr>
        <w:t xml:space="preserve">not everything that has the form of an empirical proposition </w:t>
      </w:r>
      <w:r w:rsidR="00C23AF8" w:rsidRPr="00F64509">
        <w:rPr>
          <w:rFonts w:asciiTheme="majorBidi" w:eastAsia="Calibri" w:hAnsiTheme="majorBidi" w:cstheme="majorBidi"/>
          <w:i/>
          <w:sz w:val="24"/>
          <w:szCs w:val="24"/>
          <w:lang w:val="en-GB"/>
        </w:rPr>
        <w:t xml:space="preserve">is </w:t>
      </w:r>
      <w:r w:rsidR="00C23AF8" w:rsidRPr="00F64509">
        <w:rPr>
          <w:rFonts w:asciiTheme="majorBidi" w:eastAsia="Calibri" w:hAnsiTheme="majorBidi" w:cstheme="majorBidi"/>
          <w:sz w:val="24"/>
          <w:szCs w:val="24"/>
          <w:lang w:val="en-GB"/>
        </w:rPr>
        <w:t>one</w:t>
      </w:r>
      <w:r w:rsidR="0018537E" w:rsidRPr="00F64509">
        <w:rPr>
          <w:rFonts w:asciiTheme="majorBidi" w:eastAsia="Calibri" w:hAnsiTheme="majorBidi" w:cstheme="majorBidi"/>
          <w:sz w:val="24"/>
          <w:szCs w:val="24"/>
          <w:lang w:val="en-GB"/>
        </w:rPr>
        <w:t>”</w:t>
      </w:r>
      <w:r w:rsidR="00C23AF8" w:rsidRPr="00F64509">
        <w:rPr>
          <w:rFonts w:asciiTheme="majorBidi" w:eastAsia="Calibri" w:hAnsiTheme="majorBidi" w:cstheme="majorBidi"/>
          <w:sz w:val="24"/>
          <w:szCs w:val="24"/>
          <w:lang w:val="en-GB"/>
        </w:rPr>
        <w:t xml:space="preserve"> (OC 308). Here again, as is so common in our philosophical speculations, we are misled by </w:t>
      </w:r>
      <w:r w:rsidR="00C23AF8" w:rsidRPr="00F64509">
        <w:rPr>
          <w:rFonts w:asciiTheme="majorBidi" w:eastAsia="Calibri" w:hAnsiTheme="majorBidi" w:cstheme="majorBidi"/>
          <w:i/>
          <w:sz w:val="24"/>
          <w:szCs w:val="24"/>
          <w:lang w:val="en-GB"/>
        </w:rPr>
        <w:t>form</w:t>
      </w:r>
      <w:r w:rsidR="00C23AF8" w:rsidRPr="00F64509">
        <w:rPr>
          <w:rFonts w:asciiTheme="majorBidi" w:eastAsia="Calibri" w:hAnsiTheme="majorBidi" w:cstheme="majorBidi"/>
          <w:sz w:val="24"/>
          <w:szCs w:val="24"/>
          <w:lang w:val="en-GB"/>
        </w:rPr>
        <w:t xml:space="preserve"> (see also OC 401). </w:t>
      </w:r>
      <w:r w:rsidRPr="00F64509">
        <w:rPr>
          <w:rFonts w:asciiTheme="majorBidi" w:eastAsia="Calibri" w:hAnsiTheme="majorBidi" w:cstheme="majorBidi"/>
          <w:sz w:val="24"/>
          <w:szCs w:val="24"/>
          <w:lang w:val="en-GB"/>
        </w:rPr>
        <w:t>Wittgenstein</w:t>
      </w:r>
      <w:r w:rsidR="00F30BD1" w:rsidRPr="00F64509">
        <w:rPr>
          <w:rFonts w:asciiTheme="majorBidi" w:eastAsia="Calibri" w:hAnsiTheme="majorBidi" w:cstheme="majorBidi"/>
          <w:sz w:val="24"/>
          <w:szCs w:val="24"/>
          <w:lang w:val="en-GB"/>
        </w:rPr>
        <w:t xml:space="preserve"> realised</w:t>
      </w:r>
      <w:r w:rsidRPr="00F64509">
        <w:rPr>
          <w:rFonts w:asciiTheme="majorBidi" w:eastAsia="Calibri" w:hAnsiTheme="majorBidi" w:cstheme="majorBidi"/>
          <w:sz w:val="24"/>
          <w:szCs w:val="24"/>
          <w:lang w:val="en-GB"/>
        </w:rPr>
        <w:t xml:space="preserve"> that basic beliefs – though they look like humdrum empirical </w:t>
      </w:r>
      <w:r w:rsidR="00002A62" w:rsidRPr="00F64509">
        <w:rPr>
          <w:rFonts w:asciiTheme="majorBidi" w:eastAsia="Calibri" w:hAnsiTheme="majorBidi" w:cstheme="majorBidi"/>
          <w:sz w:val="24"/>
          <w:szCs w:val="24"/>
          <w:lang w:val="en-GB"/>
        </w:rPr>
        <w:t>or epistemic</w:t>
      </w:r>
      <w:r w:rsidRPr="00F64509">
        <w:rPr>
          <w:rFonts w:asciiTheme="majorBidi" w:eastAsia="Calibri" w:hAnsiTheme="majorBidi" w:cstheme="majorBidi"/>
          <w:sz w:val="24"/>
          <w:szCs w:val="24"/>
          <w:lang w:val="en-GB"/>
        </w:rPr>
        <w:t xml:space="preserve"> propositions – are in fact ways of acting </w:t>
      </w:r>
      <w:r w:rsidR="00002A62" w:rsidRPr="00F64509">
        <w:rPr>
          <w:rFonts w:asciiTheme="majorBidi" w:eastAsia="Calibri" w:hAnsiTheme="majorBidi" w:cstheme="majorBidi"/>
          <w:sz w:val="24"/>
          <w:szCs w:val="24"/>
          <w:lang w:val="en-GB"/>
        </w:rPr>
        <w:t>which</w:t>
      </w:r>
      <w:r w:rsidRPr="00F64509">
        <w:rPr>
          <w:rFonts w:asciiTheme="majorBidi" w:eastAsia="Calibri" w:hAnsiTheme="majorBidi" w:cstheme="majorBidi"/>
          <w:sz w:val="24"/>
          <w:szCs w:val="24"/>
          <w:lang w:val="en-GB"/>
        </w:rPr>
        <w:t xml:space="preserve">, when conceptually elucidated, can be seen to function as rules of grammar: that is, they underlie </w:t>
      </w:r>
      <w:r w:rsidR="0018537E"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our operating with thought (language)</w:t>
      </w:r>
      <w:r w:rsidR="0018537E"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 xml:space="preserve"> (OC 401).</w:t>
      </w:r>
    </w:p>
    <w:p w14:paraId="3F8FD1A6" w14:textId="70AEF267" w:rsidR="00E92AA8" w:rsidRPr="00F64509" w:rsidRDefault="007E2B79" w:rsidP="00F64509">
      <w:pPr>
        <w:spacing w:line="480" w:lineRule="auto"/>
        <w:jc w:val="both"/>
        <w:rPr>
          <w:rFonts w:asciiTheme="majorBidi" w:eastAsia="Calibri" w:hAnsiTheme="majorBidi" w:cstheme="majorBidi"/>
          <w:bCs/>
          <w:sz w:val="24"/>
          <w:szCs w:val="24"/>
          <w:lang w:val="en-GB"/>
        </w:rPr>
      </w:pPr>
      <w:r w:rsidRPr="00F64509">
        <w:rPr>
          <w:rFonts w:asciiTheme="majorBidi" w:eastAsia="Calibri" w:hAnsiTheme="majorBidi" w:cstheme="majorBidi"/>
          <w:sz w:val="24"/>
          <w:szCs w:val="24"/>
          <w:lang w:val="en-GB" w:eastAsia="en-GB"/>
        </w:rPr>
        <w:lastRenderedPageBreak/>
        <w:t>Because of their grammatical status (they determine sense)</w:t>
      </w:r>
      <w:r w:rsidRPr="00F64509">
        <w:rPr>
          <w:rFonts w:asciiTheme="majorBidi" w:eastAsia="Times" w:hAnsiTheme="majorBidi" w:cstheme="majorBidi"/>
          <w:sz w:val="24"/>
          <w:szCs w:val="24"/>
          <w:lang w:val="en-GB" w:eastAsia="en-GB"/>
        </w:rPr>
        <w:t>, grammatical rules make no sense when uttered within the language game</w:t>
      </w:r>
      <w:r w:rsidRPr="00F64509">
        <w:rPr>
          <w:rFonts w:asciiTheme="majorBidi" w:eastAsia="Times" w:hAnsiTheme="majorBidi" w:cstheme="majorBidi"/>
          <w:sz w:val="24"/>
          <w:szCs w:val="24"/>
          <w:vertAlign w:val="superscript"/>
          <w:lang w:val="en-GB" w:eastAsia="en-GB"/>
        </w:rPr>
        <w:footnoteReference w:id="4"/>
      </w:r>
      <w:r w:rsidRPr="00F64509">
        <w:rPr>
          <w:rFonts w:asciiTheme="majorBidi" w:eastAsia="Calibri" w:hAnsiTheme="majorBidi" w:cstheme="majorBidi"/>
          <w:sz w:val="24"/>
          <w:szCs w:val="24"/>
          <w:lang w:val="en-GB"/>
        </w:rPr>
        <w:t xml:space="preserve">. </w:t>
      </w:r>
      <w:r w:rsidR="00E92AA8" w:rsidRPr="00F64509">
        <w:rPr>
          <w:rFonts w:asciiTheme="majorBidi" w:eastAsia="Calibri" w:hAnsiTheme="majorBidi" w:cstheme="majorBidi"/>
          <w:sz w:val="24"/>
          <w:szCs w:val="24"/>
          <w:lang w:val="en-GB"/>
        </w:rPr>
        <w:t xml:space="preserve">Uttering a hinge certainty in ordinary contexts does not result in a display of certainty but is perceived as queer (OC 553); incomprehensible (OC 347); a joke (OC 463); a sign of madness (OC 467). </w:t>
      </w:r>
      <w:r w:rsidR="00E92AA8" w:rsidRPr="00F64509">
        <w:rPr>
          <w:rFonts w:asciiTheme="majorBidi" w:eastAsia="Times New Roman" w:hAnsiTheme="majorBidi" w:cstheme="majorBidi"/>
          <w:sz w:val="24"/>
          <w:szCs w:val="24"/>
          <w:lang w:val="en-GB" w:eastAsia="en-GB"/>
        </w:rPr>
        <w:t>To utter a hinge</w:t>
      </w:r>
      <w:r w:rsidR="00CE1DCF" w:rsidRPr="00F64509">
        <w:rPr>
          <w:rFonts w:asciiTheme="majorBidi" w:eastAsia="Times New Roman" w:hAnsiTheme="majorBidi" w:cstheme="majorBidi"/>
          <w:sz w:val="24"/>
          <w:szCs w:val="24"/>
          <w:lang w:val="en-GB" w:eastAsia="en-GB"/>
        </w:rPr>
        <w:t xml:space="preserve"> certainty</w:t>
      </w:r>
      <w:r w:rsidR="00E92AA8" w:rsidRPr="00F64509">
        <w:rPr>
          <w:rFonts w:asciiTheme="majorBidi" w:eastAsia="Times New Roman" w:hAnsiTheme="majorBidi" w:cstheme="majorBidi"/>
          <w:sz w:val="24"/>
          <w:szCs w:val="24"/>
          <w:lang w:val="en-GB" w:eastAsia="en-GB"/>
        </w:rPr>
        <w:t xml:space="preserve"> in the flow of ordinary discourse is to speak nonsense; it is to utter a rule where no reminder of the rule was needed. To use one of Wittgenstein</w:t>
      </w:r>
      <w:r w:rsidR="00B53A7E"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sz w:val="24"/>
          <w:szCs w:val="24"/>
          <w:lang w:val="en-GB" w:eastAsia="en-GB"/>
        </w:rPr>
        <w:t xml:space="preserve">s examples in </w:t>
      </w:r>
      <w:r w:rsidR="00E92AA8" w:rsidRPr="00F64509">
        <w:rPr>
          <w:rFonts w:asciiTheme="majorBidi" w:eastAsia="Times New Roman" w:hAnsiTheme="majorBidi" w:cstheme="majorBidi"/>
          <w:i/>
          <w:iCs/>
          <w:sz w:val="24"/>
          <w:szCs w:val="24"/>
          <w:lang w:val="en-GB" w:eastAsia="en-GB"/>
        </w:rPr>
        <w:t>On Certainty</w:t>
      </w:r>
      <w:r w:rsidR="00E92AA8"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iCs/>
          <w:snapToGrid w:val="0"/>
          <w:sz w:val="24"/>
          <w:szCs w:val="24"/>
          <w:lang w:val="en-GB"/>
        </w:rPr>
        <w:t xml:space="preserve"> i</w:t>
      </w:r>
      <w:r w:rsidR="00E92AA8" w:rsidRPr="00F64509">
        <w:rPr>
          <w:rFonts w:asciiTheme="majorBidi" w:eastAsia="Times New Roman" w:hAnsiTheme="majorBidi" w:cstheme="majorBidi"/>
          <w:snapToGrid w:val="0"/>
          <w:sz w:val="24"/>
          <w:szCs w:val="24"/>
          <w:lang w:val="en-GB"/>
        </w:rPr>
        <w:t xml:space="preserve">f a forester were to say to his men: </w:t>
      </w:r>
      <w:r w:rsidR="008F7E7F" w:rsidRPr="00F64509">
        <w:rPr>
          <w:rFonts w:asciiTheme="majorBidi" w:eastAsia="Times New Roman" w:hAnsiTheme="majorBidi" w:cstheme="majorBidi"/>
          <w:snapToGrid w:val="0"/>
          <w:sz w:val="24"/>
          <w:szCs w:val="24"/>
          <w:lang w:val="en-GB"/>
        </w:rPr>
        <w:t>“</w:t>
      </w:r>
      <w:r w:rsidR="00E92AA8" w:rsidRPr="00F64509">
        <w:rPr>
          <w:rFonts w:asciiTheme="majorBidi" w:eastAsia="Calibri" w:hAnsiTheme="majorBidi" w:cstheme="majorBidi"/>
          <w:i/>
          <w:iCs/>
          <w:sz w:val="24"/>
          <w:szCs w:val="24"/>
          <w:lang w:val="en-GB"/>
        </w:rPr>
        <w:t>This</w:t>
      </w:r>
      <w:r w:rsidR="00E92AA8" w:rsidRPr="00F64509">
        <w:rPr>
          <w:rFonts w:asciiTheme="majorBidi" w:eastAsia="Calibri" w:hAnsiTheme="majorBidi" w:cstheme="majorBidi"/>
          <w:sz w:val="24"/>
          <w:szCs w:val="24"/>
          <w:lang w:val="en-GB"/>
        </w:rPr>
        <w:t xml:space="preserve"> tree has got to be cut down, and </w:t>
      </w:r>
      <w:r w:rsidR="00E92AA8" w:rsidRPr="00F64509">
        <w:rPr>
          <w:rFonts w:asciiTheme="majorBidi" w:eastAsia="Calibri" w:hAnsiTheme="majorBidi" w:cstheme="majorBidi"/>
          <w:i/>
          <w:iCs/>
          <w:sz w:val="24"/>
          <w:szCs w:val="24"/>
          <w:lang w:val="en-GB"/>
        </w:rPr>
        <w:t xml:space="preserve">this </w:t>
      </w:r>
      <w:r w:rsidR="00E92AA8" w:rsidRPr="00F64509">
        <w:rPr>
          <w:rFonts w:asciiTheme="majorBidi" w:eastAsia="Calibri" w:hAnsiTheme="majorBidi" w:cstheme="majorBidi"/>
          <w:sz w:val="24"/>
          <w:szCs w:val="24"/>
          <w:lang w:val="en-GB"/>
        </w:rPr>
        <w:t xml:space="preserve">one and </w:t>
      </w:r>
      <w:r w:rsidR="00E92AA8" w:rsidRPr="00F64509">
        <w:rPr>
          <w:rFonts w:asciiTheme="majorBidi" w:eastAsia="Calibri" w:hAnsiTheme="majorBidi" w:cstheme="majorBidi"/>
          <w:i/>
          <w:iCs/>
          <w:sz w:val="24"/>
          <w:szCs w:val="24"/>
          <w:lang w:val="en-GB"/>
        </w:rPr>
        <w:t>this</w:t>
      </w:r>
      <w:r w:rsidR="00E92AA8" w:rsidRPr="00F64509">
        <w:rPr>
          <w:rFonts w:asciiTheme="majorBidi" w:eastAsia="Calibri" w:hAnsiTheme="majorBidi" w:cstheme="majorBidi"/>
          <w:sz w:val="24"/>
          <w:szCs w:val="24"/>
          <w:lang w:val="en-GB"/>
        </w:rPr>
        <w:t xml:space="preserve"> one</w:t>
      </w:r>
      <w:r w:rsidR="008F7E7F" w:rsidRPr="00F64509">
        <w:rPr>
          <w:rFonts w:asciiTheme="majorBidi" w:eastAsia="Calibri" w:hAnsiTheme="majorBidi" w:cstheme="majorBidi"/>
          <w:sz w:val="24"/>
          <w:szCs w:val="24"/>
          <w:lang w:val="en-GB"/>
        </w:rPr>
        <w:t>”</w:t>
      </w:r>
      <w:r w:rsidR="00E92AA8" w:rsidRPr="00F64509">
        <w:rPr>
          <w:rFonts w:asciiTheme="majorBidi" w:eastAsia="Times New Roman" w:hAnsiTheme="majorBidi" w:cstheme="majorBidi"/>
          <w:snapToGrid w:val="0"/>
          <w:sz w:val="24"/>
          <w:szCs w:val="24"/>
          <w:lang w:val="en-GB"/>
        </w:rPr>
        <w:t xml:space="preserve">, that would be an informative statement. If he were then to say, pointing to a perfectly ordinary tree: </w:t>
      </w:r>
      <w:r w:rsidR="008F7E7F" w:rsidRPr="00F64509">
        <w:rPr>
          <w:rFonts w:asciiTheme="majorBidi" w:eastAsia="Times New Roman" w:hAnsiTheme="majorBidi" w:cstheme="majorBidi"/>
          <w:snapToGrid w:val="0"/>
          <w:sz w:val="24"/>
          <w:szCs w:val="24"/>
          <w:lang w:val="en-GB"/>
        </w:rPr>
        <w:t>“</w:t>
      </w:r>
      <w:r w:rsidR="00E92AA8" w:rsidRPr="00F64509">
        <w:rPr>
          <w:rFonts w:asciiTheme="majorBidi" w:eastAsia="Times New Roman" w:hAnsiTheme="majorBidi" w:cstheme="majorBidi"/>
          <w:snapToGrid w:val="0"/>
          <w:sz w:val="24"/>
          <w:szCs w:val="24"/>
          <w:lang w:val="en-GB"/>
        </w:rPr>
        <w:t>That is a tree</w:t>
      </w:r>
      <w:r w:rsidR="008F7E7F" w:rsidRPr="00F64509">
        <w:rPr>
          <w:rFonts w:asciiTheme="majorBidi" w:eastAsia="Times New Roman" w:hAnsiTheme="majorBidi" w:cstheme="majorBidi"/>
          <w:snapToGrid w:val="0"/>
          <w:sz w:val="24"/>
          <w:szCs w:val="24"/>
          <w:lang w:val="en-GB"/>
        </w:rPr>
        <w:t>”</w:t>
      </w:r>
      <w:r w:rsidR="00E92AA8" w:rsidRPr="00F64509">
        <w:rPr>
          <w:rFonts w:asciiTheme="majorBidi" w:eastAsia="Times New Roman" w:hAnsiTheme="majorBidi" w:cstheme="majorBidi"/>
          <w:snapToGrid w:val="0"/>
          <w:sz w:val="24"/>
          <w:szCs w:val="24"/>
          <w:lang w:val="en-GB"/>
        </w:rPr>
        <w:t>, his men would look at him perplexed. The language-game is suddenly frozen; the forester isn</w:t>
      </w:r>
      <w:r w:rsidR="008F7E7F" w:rsidRPr="00F64509">
        <w:rPr>
          <w:rFonts w:asciiTheme="majorBidi" w:eastAsia="Times New Roman" w:hAnsiTheme="majorBidi" w:cstheme="majorBidi"/>
          <w:snapToGrid w:val="0"/>
          <w:sz w:val="24"/>
          <w:szCs w:val="24"/>
          <w:lang w:val="en-GB"/>
        </w:rPr>
        <w:t>’</w:t>
      </w:r>
      <w:r w:rsidR="00E92AA8" w:rsidRPr="00F64509">
        <w:rPr>
          <w:rFonts w:asciiTheme="majorBidi" w:eastAsia="Times New Roman" w:hAnsiTheme="majorBidi" w:cstheme="majorBidi"/>
          <w:snapToGrid w:val="0"/>
          <w:sz w:val="24"/>
          <w:szCs w:val="24"/>
          <w:lang w:val="en-GB"/>
        </w:rPr>
        <w:t>t making sense: he seems to want to inform his men of something so basic they would have learned it as children. That</w:t>
      </w:r>
      <w:r w:rsidR="00E92AA8" w:rsidRPr="00F64509">
        <w:rPr>
          <w:rFonts w:asciiTheme="majorBidi" w:eastAsia="Times New Roman" w:hAnsiTheme="majorBidi" w:cstheme="majorBidi"/>
          <w:i/>
          <w:snapToGrid w:val="0"/>
          <w:sz w:val="24"/>
          <w:szCs w:val="24"/>
          <w:lang w:val="en-GB"/>
        </w:rPr>
        <w:t xml:space="preserve"> that is a tree</w:t>
      </w:r>
      <w:r w:rsidR="00E92AA8" w:rsidRPr="00F64509">
        <w:rPr>
          <w:rFonts w:asciiTheme="majorBidi" w:eastAsia="Times New Roman" w:hAnsiTheme="majorBidi" w:cstheme="majorBidi"/>
          <w:snapToGrid w:val="0"/>
          <w:sz w:val="24"/>
          <w:szCs w:val="24"/>
          <w:lang w:val="en-GB"/>
        </w:rPr>
        <w:t xml:space="preserve"> is a rule of grammar; a hinge which, as such, is unsaid, </w:t>
      </w:r>
      <w:r w:rsidR="008F7E7F" w:rsidRPr="00F64509">
        <w:rPr>
          <w:rFonts w:asciiTheme="majorBidi" w:eastAsia="Times New Roman" w:hAnsiTheme="majorBidi" w:cstheme="majorBidi"/>
          <w:snapToGrid w:val="0"/>
          <w:sz w:val="24"/>
          <w:szCs w:val="24"/>
          <w:lang w:val="en-GB"/>
        </w:rPr>
        <w:t>“</w:t>
      </w:r>
      <w:r w:rsidR="00E92AA8" w:rsidRPr="00F64509">
        <w:rPr>
          <w:rFonts w:asciiTheme="majorBidi" w:eastAsia="Times New Roman" w:hAnsiTheme="majorBidi" w:cstheme="majorBidi"/>
          <w:snapToGrid w:val="0"/>
          <w:sz w:val="24"/>
          <w:szCs w:val="24"/>
          <w:lang w:val="en-GB"/>
        </w:rPr>
        <w:t>fixed and … removed from the traffic</w:t>
      </w:r>
      <w:r w:rsidR="008F7E7F" w:rsidRPr="00F64509">
        <w:rPr>
          <w:rFonts w:asciiTheme="majorBidi" w:eastAsia="Times New Roman" w:hAnsiTheme="majorBidi" w:cstheme="majorBidi"/>
          <w:snapToGrid w:val="0"/>
          <w:sz w:val="24"/>
          <w:szCs w:val="24"/>
          <w:lang w:val="en-GB"/>
        </w:rPr>
        <w:t>”</w:t>
      </w:r>
      <w:r w:rsidR="00E92AA8" w:rsidRPr="00F64509">
        <w:rPr>
          <w:rFonts w:asciiTheme="majorBidi" w:eastAsia="Times New Roman" w:hAnsiTheme="majorBidi" w:cstheme="majorBidi"/>
          <w:snapToGrid w:val="0"/>
          <w:sz w:val="24"/>
          <w:szCs w:val="24"/>
          <w:lang w:val="en-GB"/>
        </w:rPr>
        <w:t xml:space="preserve"> (OC 210) – that is, it </w:t>
      </w:r>
      <w:r w:rsidR="00E92AA8" w:rsidRPr="00F64509">
        <w:rPr>
          <w:rFonts w:asciiTheme="majorBidi" w:eastAsia="Times New Roman" w:hAnsiTheme="majorBidi" w:cstheme="majorBidi"/>
          <w:i/>
          <w:snapToGrid w:val="0"/>
          <w:sz w:val="24"/>
          <w:szCs w:val="24"/>
          <w:lang w:val="en-GB"/>
        </w:rPr>
        <w:t>enables, but does not belong to</w:t>
      </w:r>
      <w:r w:rsidR="00E92AA8" w:rsidRPr="00F64509">
        <w:rPr>
          <w:rFonts w:asciiTheme="majorBidi" w:eastAsia="Times New Roman" w:hAnsiTheme="majorBidi" w:cstheme="majorBidi"/>
          <w:snapToGrid w:val="0"/>
          <w:sz w:val="24"/>
          <w:szCs w:val="24"/>
          <w:lang w:val="en-GB"/>
        </w:rPr>
        <w:t xml:space="preserve"> the language-game. To say a hinge in the flow of the language-game invariably arrests the game; the fluidity of the game depends on its hinges remaining invisible (unsaid): all the forester needs to say for his men to get to work is which trees need cutting.</w:t>
      </w:r>
      <w:r w:rsidR="000613A0" w:rsidRPr="00F64509">
        <w:rPr>
          <w:rFonts w:asciiTheme="majorBidi" w:eastAsia="Times New Roman" w:hAnsiTheme="majorBidi" w:cstheme="majorBidi"/>
          <w:snapToGrid w:val="0"/>
          <w:sz w:val="24"/>
          <w:szCs w:val="24"/>
          <w:lang w:val="en-GB"/>
        </w:rPr>
        <w:t xml:space="preserve"> Although we can formulate rules of grammar in heuristic circumstances </w:t>
      </w:r>
      <w:r w:rsidR="00CE1DCF" w:rsidRPr="00F64509">
        <w:rPr>
          <w:rFonts w:asciiTheme="majorBidi" w:eastAsia="Times New Roman" w:hAnsiTheme="majorBidi" w:cstheme="majorBidi"/>
          <w:snapToGrid w:val="0"/>
          <w:sz w:val="24"/>
          <w:szCs w:val="24"/>
          <w:lang w:val="en-GB"/>
        </w:rPr>
        <w:t>such as</w:t>
      </w:r>
      <w:r w:rsidR="000613A0" w:rsidRPr="00F64509">
        <w:rPr>
          <w:rFonts w:asciiTheme="majorBidi" w:eastAsia="Times New Roman" w:hAnsiTheme="majorBidi" w:cstheme="majorBidi"/>
          <w:snapToGrid w:val="0"/>
          <w:sz w:val="24"/>
          <w:szCs w:val="24"/>
          <w:lang w:val="en-GB"/>
        </w:rPr>
        <w:t xml:space="preserve"> </w:t>
      </w:r>
      <w:r w:rsidR="00CE1DCF" w:rsidRPr="00F64509">
        <w:rPr>
          <w:rFonts w:asciiTheme="majorBidi" w:eastAsia="Times New Roman" w:hAnsiTheme="majorBidi" w:cstheme="majorBidi"/>
          <w:snapToGrid w:val="0"/>
          <w:sz w:val="24"/>
          <w:szCs w:val="24"/>
          <w:lang w:val="en-GB"/>
        </w:rPr>
        <w:t xml:space="preserve">in philosophical elucidation or </w:t>
      </w:r>
      <w:r w:rsidR="000613A0" w:rsidRPr="00F64509">
        <w:rPr>
          <w:rFonts w:asciiTheme="majorBidi" w:eastAsia="Times New Roman" w:hAnsiTheme="majorBidi" w:cstheme="majorBidi"/>
          <w:snapToGrid w:val="0"/>
          <w:sz w:val="24"/>
          <w:szCs w:val="24"/>
          <w:lang w:val="en-GB"/>
        </w:rPr>
        <w:t>in teaching language to a child</w:t>
      </w:r>
      <w:r w:rsidR="00CE1DCF" w:rsidRPr="00F64509">
        <w:rPr>
          <w:rFonts w:asciiTheme="majorBidi" w:eastAsia="Times New Roman" w:hAnsiTheme="majorBidi" w:cstheme="majorBidi"/>
          <w:snapToGrid w:val="0"/>
          <w:sz w:val="24"/>
          <w:szCs w:val="24"/>
          <w:lang w:val="en-GB"/>
        </w:rPr>
        <w:t xml:space="preserve"> (e.g., </w:t>
      </w:r>
      <w:r w:rsidR="000613A0" w:rsidRPr="00F64509">
        <w:rPr>
          <w:rFonts w:asciiTheme="majorBidi" w:eastAsia="Times New Roman" w:hAnsiTheme="majorBidi" w:cstheme="majorBidi"/>
          <w:snapToGrid w:val="0"/>
          <w:sz w:val="24"/>
          <w:szCs w:val="24"/>
          <w:lang w:val="en-GB"/>
        </w:rPr>
        <w:t xml:space="preserve">we say: </w:t>
      </w:r>
      <w:r w:rsidR="008F7E7F" w:rsidRPr="00F64509">
        <w:rPr>
          <w:rFonts w:asciiTheme="majorBidi" w:eastAsia="Times New Roman" w:hAnsiTheme="majorBidi" w:cstheme="majorBidi"/>
          <w:snapToGrid w:val="0"/>
          <w:sz w:val="24"/>
          <w:szCs w:val="24"/>
          <w:lang w:val="en-GB"/>
        </w:rPr>
        <w:t>“</w:t>
      </w:r>
      <w:r w:rsidR="000613A0" w:rsidRPr="00F64509">
        <w:rPr>
          <w:rFonts w:asciiTheme="majorBidi" w:eastAsia="Times New Roman" w:hAnsiTheme="majorBidi" w:cstheme="majorBidi"/>
          <w:snapToGrid w:val="0"/>
          <w:sz w:val="24"/>
          <w:szCs w:val="24"/>
          <w:lang w:val="en-GB"/>
        </w:rPr>
        <w:t>This is a tree</w:t>
      </w:r>
      <w:r w:rsidR="008F7E7F" w:rsidRPr="00F64509">
        <w:rPr>
          <w:rFonts w:asciiTheme="majorBidi" w:eastAsia="Times New Roman" w:hAnsiTheme="majorBidi" w:cstheme="majorBidi"/>
          <w:snapToGrid w:val="0"/>
          <w:sz w:val="24"/>
          <w:szCs w:val="24"/>
          <w:lang w:val="en-GB"/>
        </w:rPr>
        <w:t>”</w:t>
      </w:r>
      <w:r w:rsidR="000613A0" w:rsidRPr="00F64509">
        <w:rPr>
          <w:rFonts w:asciiTheme="majorBidi" w:eastAsia="Times New Roman" w:hAnsiTheme="majorBidi" w:cstheme="majorBidi"/>
          <w:snapToGrid w:val="0"/>
          <w:sz w:val="24"/>
          <w:szCs w:val="24"/>
          <w:lang w:val="en-GB"/>
        </w:rPr>
        <w:t xml:space="preserve"> pointing to the oak tree next to her), such formulation in non-heuristic circumstances is senseless.</w:t>
      </w:r>
    </w:p>
    <w:p w14:paraId="132FE2F5" w14:textId="02963AD5" w:rsidR="00F71D40" w:rsidRPr="00F64509" w:rsidRDefault="00CE1DCF" w:rsidP="00104E28">
      <w:pPr>
        <w:spacing w:line="480" w:lineRule="auto"/>
        <w:jc w:val="both"/>
        <w:rPr>
          <w:rFonts w:asciiTheme="majorBidi" w:eastAsia="Calibri" w:hAnsiTheme="majorBidi" w:cstheme="majorBidi"/>
          <w:sz w:val="24"/>
          <w:szCs w:val="24"/>
          <w:lang w:val="en-GB"/>
        </w:rPr>
      </w:pPr>
      <w:r w:rsidRPr="00F64509">
        <w:rPr>
          <w:rFonts w:asciiTheme="majorBidi" w:eastAsia="Times" w:hAnsiTheme="majorBidi" w:cstheme="majorBidi"/>
          <w:sz w:val="24"/>
          <w:szCs w:val="24"/>
          <w:lang w:val="en-GB" w:eastAsia="en-GB"/>
        </w:rPr>
        <w:t xml:space="preserve">But </w:t>
      </w:r>
      <w:r w:rsidR="00F71D40" w:rsidRPr="00F64509">
        <w:rPr>
          <w:rFonts w:asciiTheme="majorBidi" w:eastAsia="Times" w:hAnsiTheme="majorBidi" w:cstheme="majorBidi"/>
          <w:sz w:val="24"/>
          <w:szCs w:val="24"/>
          <w:lang w:val="en-GB" w:eastAsia="en-GB"/>
        </w:rPr>
        <w:t>if</w:t>
      </w:r>
      <w:r w:rsidRPr="00F64509">
        <w:rPr>
          <w:rFonts w:asciiTheme="majorBidi" w:eastAsia="Times" w:hAnsiTheme="majorBidi" w:cstheme="majorBidi"/>
          <w:sz w:val="24"/>
          <w:szCs w:val="24"/>
          <w:lang w:val="en-GB" w:eastAsia="en-GB"/>
        </w:rPr>
        <w:t xml:space="preserve"> formulating some of our certainties for philosophical elucidation is important,</w:t>
      </w:r>
      <w:r w:rsidR="00E92AA8" w:rsidRPr="00F64509">
        <w:rPr>
          <w:rFonts w:asciiTheme="majorBidi" w:eastAsia="Times" w:hAnsiTheme="majorBidi" w:cstheme="majorBidi"/>
          <w:sz w:val="24"/>
          <w:szCs w:val="24"/>
          <w:lang w:val="en-GB" w:eastAsia="en-GB"/>
        </w:rPr>
        <w:t xml:space="preserve"> it can also be misleading. </w:t>
      </w:r>
      <w:r w:rsidR="00B05F99" w:rsidRPr="00F64509">
        <w:rPr>
          <w:rFonts w:asciiTheme="majorBidi" w:eastAsia="Times" w:hAnsiTheme="majorBidi" w:cstheme="majorBidi"/>
          <w:sz w:val="24"/>
          <w:szCs w:val="24"/>
          <w:lang w:val="en-GB" w:eastAsia="en-GB"/>
        </w:rPr>
        <w:t xml:space="preserve">Our </w:t>
      </w:r>
      <w:r w:rsidR="00E92AA8" w:rsidRPr="00F64509">
        <w:rPr>
          <w:rFonts w:asciiTheme="majorBidi" w:eastAsia="Times" w:hAnsiTheme="majorBidi" w:cstheme="majorBidi"/>
          <w:sz w:val="24"/>
          <w:szCs w:val="24"/>
          <w:lang w:val="en-GB" w:eastAsia="en-GB"/>
        </w:rPr>
        <w:t xml:space="preserve">ability to put certainties in </w:t>
      </w:r>
      <w:r w:rsidR="00E92AA8" w:rsidRPr="00F64509">
        <w:rPr>
          <w:rFonts w:asciiTheme="majorBidi" w:eastAsia="Times" w:hAnsiTheme="majorBidi" w:cstheme="majorBidi"/>
          <w:i/>
          <w:iCs/>
          <w:sz w:val="24"/>
          <w:szCs w:val="24"/>
          <w:lang w:val="en-GB" w:eastAsia="en-GB"/>
        </w:rPr>
        <w:t>sentences</w:t>
      </w:r>
      <w:r w:rsidR="00E92AA8" w:rsidRPr="00F64509">
        <w:rPr>
          <w:rFonts w:asciiTheme="majorBidi" w:eastAsia="Times" w:hAnsiTheme="majorBidi" w:cstheme="majorBidi"/>
          <w:sz w:val="24"/>
          <w:szCs w:val="24"/>
          <w:lang w:val="en-GB" w:eastAsia="en-GB"/>
        </w:rPr>
        <w:t xml:space="preserve"> </w:t>
      </w:r>
      <w:r w:rsidR="00E92AA8" w:rsidRPr="00F64509">
        <w:rPr>
          <w:rFonts w:asciiTheme="majorBidi" w:eastAsia="Times New Roman" w:hAnsiTheme="majorBidi" w:cstheme="majorBidi"/>
          <w:sz w:val="24"/>
          <w:szCs w:val="24"/>
          <w:lang w:val="en-GB" w:eastAsia="en-GB"/>
        </w:rPr>
        <w:t xml:space="preserve">– e.g., </w:t>
      </w:r>
      <w:r w:rsidR="008F7E7F"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sz w:val="24"/>
          <w:szCs w:val="24"/>
          <w:lang w:val="en-GB" w:eastAsia="en-GB"/>
        </w:rPr>
        <w:t>I have a body</w:t>
      </w:r>
      <w:r w:rsidR="008F7E7F"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sz w:val="24"/>
          <w:szCs w:val="24"/>
          <w:lang w:val="en-GB" w:eastAsia="en-GB"/>
        </w:rPr>
        <w:t xml:space="preserve">; </w:t>
      </w:r>
      <w:r w:rsidR="008F7E7F"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sz w:val="24"/>
          <w:szCs w:val="24"/>
          <w:lang w:val="en-GB" w:eastAsia="en-GB"/>
        </w:rPr>
        <w:t>There exist people other than myself</w:t>
      </w:r>
      <w:r w:rsidR="008F7E7F" w:rsidRPr="00F64509">
        <w:rPr>
          <w:rFonts w:asciiTheme="majorBidi" w:eastAsia="Times New Roman" w:hAnsiTheme="majorBidi" w:cstheme="majorBidi"/>
          <w:sz w:val="24"/>
          <w:szCs w:val="24"/>
          <w:lang w:val="en-GB" w:eastAsia="en-GB"/>
        </w:rPr>
        <w:t>”</w:t>
      </w:r>
      <w:r w:rsidR="00E92AA8" w:rsidRPr="00F64509">
        <w:rPr>
          <w:rFonts w:asciiTheme="majorBidi" w:eastAsia="Times New Roman" w:hAnsiTheme="majorBidi" w:cstheme="majorBidi"/>
          <w:sz w:val="24"/>
          <w:szCs w:val="24"/>
          <w:lang w:val="en-GB" w:eastAsia="en-GB"/>
        </w:rPr>
        <w:t xml:space="preserve"> – misleads us into thinking</w:t>
      </w:r>
      <w:r w:rsidR="00E92AA8" w:rsidRPr="00F64509">
        <w:rPr>
          <w:rFonts w:asciiTheme="majorBidi" w:eastAsia="Times" w:hAnsiTheme="majorBidi" w:cstheme="majorBidi"/>
          <w:sz w:val="24"/>
          <w:szCs w:val="24"/>
          <w:lang w:val="en-GB" w:eastAsia="en-GB"/>
        </w:rPr>
        <w:t xml:space="preserve"> that </w:t>
      </w:r>
      <w:r w:rsidR="00E92AA8" w:rsidRPr="00F64509">
        <w:rPr>
          <w:rFonts w:asciiTheme="majorBidi" w:eastAsia="Times New Roman" w:hAnsiTheme="majorBidi" w:cstheme="majorBidi"/>
          <w:sz w:val="24"/>
          <w:szCs w:val="24"/>
          <w:lang w:val="en-GB" w:eastAsia="en-GB"/>
        </w:rPr>
        <w:t xml:space="preserve">they are propositions, and therefore susceptible of </w:t>
      </w:r>
      <w:r w:rsidRPr="00F64509">
        <w:rPr>
          <w:rFonts w:asciiTheme="majorBidi" w:eastAsia="Times New Roman" w:hAnsiTheme="majorBidi" w:cstheme="majorBidi"/>
          <w:sz w:val="24"/>
          <w:szCs w:val="24"/>
          <w:lang w:val="en-GB" w:eastAsia="en-GB"/>
        </w:rPr>
        <w:t>verifiability</w:t>
      </w:r>
      <w:r w:rsidR="00E92AA8" w:rsidRPr="00F64509">
        <w:rPr>
          <w:rFonts w:asciiTheme="majorBidi" w:eastAsia="Times New Roman" w:hAnsiTheme="majorBidi" w:cstheme="majorBidi"/>
          <w:sz w:val="24"/>
          <w:szCs w:val="24"/>
          <w:lang w:val="en-GB" w:eastAsia="en-GB"/>
        </w:rPr>
        <w:t xml:space="preserve"> or dubitability. And this has the further consequence of deceiving us into believing that sceptical doubt is possible and legitimate, </w:t>
      </w:r>
      <w:r w:rsidRPr="00F64509">
        <w:rPr>
          <w:rFonts w:asciiTheme="majorBidi" w:eastAsia="Times New Roman" w:hAnsiTheme="majorBidi" w:cstheme="majorBidi"/>
          <w:sz w:val="24"/>
          <w:szCs w:val="24"/>
          <w:lang w:val="en-GB" w:eastAsia="en-GB"/>
        </w:rPr>
        <w:t>even if</w:t>
      </w:r>
      <w:r w:rsidR="00E92AA8" w:rsidRPr="00F64509">
        <w:rPr>
          <w:rFonts w:asciiTheme="majorBidi" w:eastAsia="Times New Roman" w:hAnsiTheme="majorBidi" w:cstheme="majorBidi"/>
          <w:sz w:val="24"/>
          <w:szCs w:val="24"/>
          <w:lang w:val="en-GB" w:eastAsia="en-GB"/>
        </w:rPr>
        <w:t xml:space="preserve"> only in the philosophical </w:t>
      </w:r>
      <w:r w:rsidR="00E92AA8" w:rsidRPr="00F64509">
        <w:rPr>
          <w:rFonts w:asciiTheme="majorBidi" w:eastAsia="Times New Roman" w:hAnsiTheme="majorBidi" w:cstheme="majorBidi"/>
          <w:sz w:val="24"/>
          <w:szCs w:val="24"/>
          <w:lang w:val="en-GB" w:eastAsia="en-GB"/>
        </w:rPr>
        <w:lastRenderedPageBreak/>
        <w:t xml:space="preserve">study. </w:t>
      </w:r>
      <w:r w:rsidR="003225C4" w:rsidRPr="00F64509">
        <w:rPr>
          <w:rFonts w:asciiTheme="majorBidi" w:eastAsia="Calibri" w:hAnsiTheme="majorBidi" w:cstheme="majorBidi"/>
          <w:sz w:val="24"/>
          <w:szCs w:val="24"/>
          <w:lang w:val="en-GB"/>
        </w:rPr>
        <w:t xml:space="preserve">For Moyal-Sharrock it </w:t>
      </w:r>
      <w:r w:rsidR="00E92AA8" w:rsidRPr="00F64509">
        <w:rPr>
          <w:rFonts w:asciiTheme="majorBidi" w:eastAsia="Calibri" w:hAnsiTheme="majorBidi" w:cstheme="majorBidi"/>
          <w:sz w:val="24"/>
          <w:szCs w:val="24"/>
          <w:lang w:val="en-GB"/>
        </w:rPr>
        <w:t xml:space="preserve">is crucial to </w:t>
      </w:r>
      <w:r w:rsidR="00E92AA8" w:rsidRPr="00F64509">
        <w:rPr>
          <w:rFonts w:asciiTheme="majorBidi" w:eastAsia="Times" w:hAnsiTheme="majorBidi" w:cstheme="majorBidi"/>
          <w:sz w:val="24"/>
          <w:szCs w:val="24"/>
          <w:lang w:val="en-GB" w:eastAsia="en-GB"/>
        </w:rPr>
        <w:t xml:space="preserve">remember that formulating and elucidating </w:t>
      </w:r>
      <w:r w:rsidRPr="00F64509">
        <w:rPr>
          <w:rFonts w:asciiTheme="majorBidi" w:eastAsia="Times" w:hAnsiTheme="majorBidi" w:cstheme="majorBidi"/>
          <w:sz w:val="24"/>
          <w:szCs w:val="24"/>
          <w:lang w:val="en-GB" w:eastAsia="en-GB"/>
        </w:rPr>
        <w:t>a</w:t>
      </w:r>
      <w:r w:rsidR="00E92AA8" w:rsidRPr="00F64509">
        <w:rPr>
          <w:rFonts w:asciiTheme="majorBidi" w:eastAsia="Times" w:hAnsiTheme="majorBidi" w:cstheme="majorBidi"/>
          <w:sz w:val="24"/>
          <w:szCs w:val="24"/>
          <w:lang w:val="en-GB" w:eastAsia="en-GB"/>
        </w:rPr>
        <w:t xml:space="preserve"> </w:t>
      </w:r>
      <w:r w:rsidRPr="00F64509">
        <w:rPr>
          <w:rFonts w:asciiTheme="majorBidi" w:eastAsia="Times" w:hAnsiTheme="majorBidi" w:cstheme="majorBidi"/>
          <w:sz w:val="24"/>
          <w:szCs w:val="24"/>
          <w:lang w:val="en-GB" w:eastAsia="en-GB"/>
        </w:rPr>
        <w:t>hinge</w:t>
      </w:r>
      <w:r w:rsidR="00E92AA8" w:rsidRPr="00F64509">
        <w:rPr>
          <w:rFonts w:asciiTheme="majorBidi" w:eastAsia="Times" w:hAnsiTheme="majorBidi" w:cstheme="majorBidi"/>
          <w:sz w:val="24"/>
          <w:szCs w:val="24"/>
          <w:lang w:val="en-GB" w:eastAsia="en-GB"/>
        </w:rPr>
        <w:t xml:space="preserve"> certainty does </w:t>
      </w:r>
      <w:r w:rsidR="00E92AA8" w:rsidRPr="00F64509">
        <w:rPr>
          <w:rFonts w:asciiTheme="majorBidi" w:eastAsia="Times" w:hAnsiTheme="majorBidi" w:cstheme="majorBidi"/>
          <w:i/>
          <w:iCs/>
          <w:sz w:val="24"/>
          <w:szCs w:val="24"/>
          <w:lang w:val="en-GB" w:eastAsia="en-GB"/>
        </w:rPr>
        <w:t>not</w:t>
      </w:r>
      <w:r w:rsidR="00E92AA8" w:rsidRPr="00F64509">
        <w:rPr>
          <w:rFonts w:asciiTheme="majorBidi" w:eastAsia="Times" w:hAnsiTheme="majorBidi" w:cstheme="majorBidi"/>
          <w:sz w:val="24"/>
          <w:szCs w:val="24"/>
          <w:lang w:val="en-GB" w:eastAsia="en-GB"/>
        </w:rPr>
        <w:t xml:space="preserve"> make it into a propositional or an epistemic certainty.</w:t>
      </w:r>
    </w:p>
    <w:p w14:paraId="166110B1" w14:textId="585BA6AA" w:rsidR="0093745C" w:rsidRPr="00F64509" w:rsidRDefault="0093745C" w:rsidP="00F64509">
      <w:pPr>
        <w:shd w:val="clear" w:color="auto" w:fill="FFFFFF"/>
        <w:spacing w:line="480" w:lineRule="auto"/>
        <w:jc w:val="both"/>
        <w:rPr>
          <w:rFonts w:asciiTheme="majorBidi" w:eastAsia="Times New Roman" w:hAnsiTheme="majorBidi" w:cstheme="majorBidi"/>
          <w:iCs/>
          <w:color w:val="000000"/>
          <w:sz w:val="24"/>
          <w:szCs w:val="24"/>
          <w:lang w:val="en-GB" w:eastAsia="en-GB"/>
        </w:rPr>
      </w:pPr>
      <w:r w:rsidRPr="00F64509">
        <w:rPr>
          <w:rFonts w:asciiTheme="majorBidi" w:eastAsia="Times New Roman" w:hAnsiTheme="majorBidi" w:cstheme="majorBidi"/>
          <w:sz w:val="24"/>
          <w:szCs w:val="24"/>
          <w:lang w:val="en-GB" w:eastAsia="en-GB"/>
        </w:rPr>
        <w:t xml:space="preserve">Hinge certainties are not objects of subjective or psychological conviction, but of logical conviction: I cannot doubt them </w:t>
      </w:r>
      <w:r w:rsidR="008F7E7F"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without giving up all judgment</w:t>
      </w:r>
      <w:r w:rsidR="008F7E7F"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(OC 494). Doubt here is tantamount to having lost the bounds of sense: </w:t>
      </w:r>
      <w:r w:rsidR="00005D2D"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If someone said to me that he doubted whether he had a body I should take him to be a half-wit</w:t>
      </w:r>
      <w:r w:rsidR="00005D2D"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 (OC 257). In thus </w:t>
      </w:r>
      <w:r w:rsidRPr="00F64509">
        <w:rPr>
          <w:rFonts w:asciiTheme="majorBidi" w:eastAsia="Times New Roman" w:hAnsiTheme="majorBidi" w:cstheme="majorBidi"/>
          <w:i/>
          <w:iCs/>
          <w:sz w:val="24"/>
          <w:szCs w:val="24"/>
          <w:lang w:val="en-GB" w:eastAsia="en-GB"/>
        </w:rPr>
        <w:t>logically</w:t>
      </w:r>
      <w:r w:rsidRPr="00F64509">
        <w:rPr>
          <w:rFonts w:asciiTheme="majorBidi" w:eastAsia="Times New Roman" w:hAnsiTheme="majorBidi" w:cstheme="majorBidi"/>
          <w:sz w:val="24"/>
          <w:szCs w:val="24"/>
          <w:lang w:val="en-GB" w:eastAsia="en-GB"/>
        </w:rPr>
        <w:t xml:space="preserve"> closing the door to doubt as regards our basic certainties, Wittgenstein closes the door to universal scepticism. </w:t>
      </w:r>
      <w:r w:rsidRPr="00F64509">
        <w:rPr>
          <w:rFonts w:asciiTheme="majorBidi" w:eastAsia="Times New Roman" w:hAnsiTheme="majorBidi" w:cstheme="majorBidi"/>
          <w:sz w:val="24"/>
          <w:szCs w:val="24"/>
          <w:lang w:val="en-GB" w:eastAsia="en-GB" w:bidi="sa-IN"/>
        </w:rPr>
        <w:t>I</w:t>
      </w:r>
      <w:r w:rsidRPr="00F64509">
        <w:rPr>
          <w:rFonts w:asciiTheme="majorBidi" w:eastAsia="Times New Roman" w:hAnsiTheme="majorBidi" w:cstheme="majorBidi"/>
          <w:sz w:val="24"/>
          <w:szCs w:val="24"/>
          <w:lang w:val="en-GB" w:eastAsia="en-GB"/>
        </w:rPr>
        <w:t xml:space="preserve">n </w:t>
      </w:r>
      <w:r w:rsidRPr="00F64509">
        <w:rPr>
          <w:rFonts w:asciiTheme="majorBidi" w:eastAsia="Times New Roman" w:hAnsiTheme="majorBidi" w:cstheme="majorBidi"/>
          <w:i/>
          <w:iCs/>
          <w:sz w:val="24"/>
          <w:szCs w:val="24"/>
          <w:lang w:val="en-GB" w:eastAsia="en-GB"/>
        </w:rPr>
        <w:t>On Certainty</w:t>
      </w:r>
      <w:r w:rsidRPr="00F64509">
        <w:rPr>
          <w:rFonts w:asciiTheme="majorBidi" w:eastAsia="Times New Roman" w:hAnsiTheme="majorBidi" w:cstheme="majorBidi"/>
          <w:sz w:val="24"/>
          <w:szCs w:val="24"/>
          <w:lang w:val="en-GB" w:eastAsia="en-GB"/>
        </w:rPr>
        <w:t xml:space="preserve">, Wittgenstein elucidates the concept of doubt in two ways: he shows that universal doubt is impossible and that not everything that has the </w:t>
      </w:r>
      <w:r w:rsidRPr="00F64509">
        <w:rPr>
          <w:rFonts w:asciiTheme="majorBidi" w:eastAsia="Times New Roman" w:hAnsiTheme="majorBidi" w:cstheme="majorBidi"/>
          <w:i/>
          <w:iCs/>
          <w:sz w:val="24"/>
          <w:szCs w:val="24"/>
          <w:lang w:val="en-GB" w:eastAsia="en-GB"/>
        </w:rPr>
        <w:t>appearance</w:t>
      </w:r>
      <w:r w:rsidRPr="00F64509">
        <w:rPr>
          <w:rFonts w:asciiTheme="majorBidi" w:eastAsia="Times New Roman" w:hAnsiTheme="majorBidi" w:cstheme="majorBidi"/>
          <w:sz w:val="24"/>
          <w:szCs w:val="24"/>
          <w:lang w:val="en-GB" w:eastAsia="en-GB"/>
        </w:rPr>
        <w:t xml:space="preserve"> of doubt </w:t>
      </w:r>
      <w:r w:rsidRPr="00F64509">
        <w:rPr>
          <w:rFonts w:asciiTheme="majorBidi" w:eastAsia="Times New Roman" w:hAnsiTheme="majorBidi" w:cstheme="majorBidi"/>
          <w:i/>
          <w:iCs/>
          <w:sz w:val="24"/>
          <w:szCs w:val="24"/>
          <w:lang w:val="en-GB" w:eastAsia="en-GB"/>
        </w:rPr>
        <w:t>is</w:t>
      </w:r>
      <w:r w:rsidRPr="00F64509">
        <w:rPr>
          <w:rFonts w:asciiTheme="majorBidi" w:eastAsia="Times New Roman" w:hAnsiTheme="majorBidi" w:cstheme="majorBidi"/>
          <w:sz w:val="24"/>
          <w:szCs w:val="24"/>
          <w:lang w:val="en-GB" w:eastAsia="en-GB"/>
        </w:rPr>
        <w:t xml:space="preserve"> doubt (OC</w:t>
      </w:r>
      <w:r w:rsidRPr="00F64509">
        <w:rPr>
          <w:rFonts w:asciiTheme="majorBidi" w:eastAsia="Times New Roman" w:hAnsiTheme="majorBidi" w:cstheme="majorBidi"/>
          <w:i/>
          <w:sz w:val="24"/>
          <w:szCs w:val="24"/>
          <w:lang w:val="en-GB" w:eastAsia="en-GB"/>
        </w:rPr>
        <w:t xml:space="preserve"> </w:t>
      </w:r>
      <w:r w:rsidRPr="00F64509">
        <w:rPr>
          <w:rFonts w:asciiTheme="majorBidi" w:eastAsia="Times New Roman" w:hAnsiTheme="majorBidi" w:cstheme="majorBidi"/>
          <w:sz w:val="24"/>
          <w:szCs w:val="24"/>
          <w:lang w:val="en-GB" w:eastAsia="en-GB"/>
        </w:rPr>
        <w:t xml:space="preserve">255). In some cases, what looks like doubt is only </w:t>
      </w:r>
      <w:r w:rsidRPr="00F64509">
        <w:rPr>
          <w:rFonts w:asciiTheme="majorBidi" w:eastAsia="Times New Roman" w:hAnsiTheme="majorBidi" w:cstheme="majorBidi"/>
          <w:i/>
          <w:sz w:val="24"/>
          <w:szCs w:val="24"/>
          <w:lang w:val="en-GB" w:eastAsia="en-GB"/>
        </w:rPr>
        <w:t>doubt-behaviour</w:t>
      </w:r>
      <w:r w:rsidRPr="00F64509">
        <w:rPr>
          <w:rFonts w:asciiTheme="majorBidi" w:eastAsia="Times New Roman" w:hAnsiTheme="majorBidi" w:cstheme="majorBidi"/>
          <w:sz w:val="24"/>
          <w:szCs w:val="24"/>
          <w:lang w:val="en-GB" w:eastAsia="en-GB"/>
        </w:rPr>
        <w:t>. Of course, where doubt has no rational motivation or justification, it may have (pathological)</w:t>
      </w:r>
      <w:r w:rsidRPr="00F64509">
        <w:rPr>
          <w:rFonts w:asciiTheme="majorBidi" w:eastAsia="Times New Roman" w:hAnsiTheme="majorBidi" w:cstheme="majorBidi"/>
          <w:i/>
          <w:sz w:val="24"/>
          <w:szCs w:val="24"/>
          <w:lang w:val="en-GB" w:eastAsia="en-GB"/>
        </w:rPr>
        <w:t xml:space="preserve"> causes</w:t>
      </w:r>
      <w:r w:rsidRPr="00F64509">
        <w:rPr>
          <w:rFonts w:asciiTheme="majorBidi" w:eastAsia="Times New Roman" w:hAnsiTheme="majorBidi" w:cstheme="majorBidi"/>
          <w:sz w:val="24"/>
          <w:szCs w:val="24"/>
          <w:lang w:val="en-GB" w:eastAsia="en-GB"/>
        </w:rPr>
        <w:t xml:space="preserve"> (OC 74), but normal doubt must have </w:t>
      </w:r>
      <w:r w:rsidRPr="00F64509">
        <w:rPr>
          <w:rFonts w:asciiTheme="majorBidi" w:eastAsia="Times New Roman" w:hAnsiTheme="majorBidi" w:cstheme="majorBidi"/>
          <w:i/>
          <w:sz w:val="24"/>
          <w:szCs w:val="24"/>
          <w:lang w:val="en-GB" w:eastAsia="en-GB"/>
        </w:rPr>
        <w:t>reasons</w:t>
      </w:r>
      <w:r w:rsidRPr="00F64509">
        <w:rPr>
          <w:rFonts w:asciiTheme="majorBidi" w:eastAsia="Times New Roman" w:hAnsiTheme="majorBidi" w:cstheme="majorBidi"/>
          <w:sz w:val="24"/>
          <w:szCs w:val="24"/>
          <w:lang w:val="en-GB" w:eastAsia="en-GB"/>
        </w:rPr>
        <w:t>. It isn</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t enough to </w:t>
      </w:r>
      <w:r w:rsidRPr="00F64509">
        <w:rPr>
          <w:rFonts w:asciiTheme="majorBidi" w:eastAsia="Times New Roman" w:hAnsiTheme="majorBidi" w:cstheme="majorBidi"/>
          <w:i/>
          <w:iCs/>
          <w:sz w:val="24"/>
          <w:szCs w:val="24"/>
          <w:lang w:val="en-GB" w:eastAsia="en-GB"/>
        </w:rPr>
        <w:t>say</w:t>
      </w:r>
      <w:r w:rsidRPr="00F64509">
        <w:rPr>
          <w:rFonts w:asciiTheme="majorBidi" w:eastAsia="Times New Roman" w:hAnsiTheme="majorBidi" w:cstheme="majorBidi"/>
          <w:sz w:val="24"/>
          <w:szCs w:val="24"/>
          <w:lang w:val="en-GB" w:eastAsia="en-GB"/>
        </w:rPr>
        <w:t xml:space="preserve"> or </w:t>
      </w:r>
      <w:r w:rsidRPr="00F64509">
        <w:rPr>
          <w:rFonts w:asciiTheme="majorBidi" w:eastAsia="Times New Roman" w:hAnsiTheme="majorBidi" w:cstheme="majorBidi"/>
          <w:i/>
          <w:sz w:val="24"/>
          <w:szCs w:val="24"/>
          <w:lang w:val="en-GB" w:eastAsia="en-GB"/>
        </w:rPr>
        <w:t>imagine</w:t>
      </w:r>
      <w:r w:rsidRPr="00F64509">
        <w:rPr>
          <w:rFonts w:asciiTheme="majorBidi" w:eastAsia="Times New Roman" w:hAnsiTheme="majorBidi" w:cstheme="majorBidi"/>
          <w:sz w:val="24"/>
          <w:szCs w:val="24"/>
          <w:lang w:val="en-GB" w:eastAsia="en-GB"/>
        </w:rPr>
        <w:t xml:space="preserve"> we doubt: genuine doubt, like suspicion, must have </w:t>
      </w:r>
      <w:r w:rsidRPr="00F64509">
        <w:rPr>
          <w:rFonts w:asciiTheme="majorBidi" w:eastAsia="Times New Roman" w:hAnsiTheme="majorBidi" w:cstheme="majorBidi"/>
          <w:i/>
          <w:sz w:val="24"/>
          <w:szCs w:val="24"/>
          <w:lang w:val="en-GB" w:eastAsia="en-GB"/>
        </w:rPr>
        <w:t>grounds</w:t>
      </w:r>
      <w:r w:rsidRPr="00F64509">
        <w:rPr>
          <w:rFonts w:asciiTheme="majorBidi" w:eastAsia="Times New Roman" w:hAnsiTheme="majorBidi" w:cstheme="majorBidi"/>
          <w:sz w:val="24"/>
          <w:szCs w:val="24"/>
          <w:lang w:val="en-GB" w:eastAsia="en-GB"/>
        </w:rPr>
        <w:t xml:space="preserve"> (OC 322, 458). We should not, like Moore and most philosophers since Descartes, take the mere </w:t>
      </w:r>
      <w:r w:rsidRPr="00F64509">
        <w:rPr>
          <w:rFonts w:asciiTheme="majorBidi" w:eastAsia="Times New Roman" w:hAnsiTheme="majorBidi" w:cstheme="majorBidi"/>
          <w:i/>
          <w:iCs/>
          <w:sz w:val="24"/>
          <w:szCs w:val="24"/>
          <w:lang w:val="en-GB" w:eastAsia="en-GB"/>
        </w:rPr>
        <w:t>mouthing</w:t>
      </w:r>
      <w:r w:rsidRPr="00F64509">
        <w:rPr>
          <w:rFonts w:asciiTheme="majorBidi" w:eastAsia="Times New Roman" w:hAnsiTheme="majorBidi" w:cstheme="majorBidi"/>
          <w:sz w:val="24"/>
          <w:szCs w:val="24"/>
          <w:lang w:val="en-GB" w:eastAsia="en-GB"/>
        </w:rPr>
        <w:t xml:space="preserve"> of doubt for doubt.</w:t>
      </w:r>
    </w:p>
    <w:p w14:paraId="7578ADE0" w14:textId="0C60EDB3" w:rsidR="0093745C" w:rsidRPr="00F64509" w:rsidRDefault="0093745C" w:rsidP="00104E28">
      <w:pPr>
        <w:spacing w:line="480" w:lineRule="auto"/>
        <w:ind w:right="-20"/>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t>Wittgenstein</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s recognition that the sceptic</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s doubt is only doubt-behaviour is spurred by his realization that it is hinged on the very certainties it dismisses. For, were </w:t>
      </w:r>
      <w:r w:rsidR="00B05F99" w:rsidRPr="00F64509">
        <w:rPr>
          <w:rFonts w:asciiTheme="majorBidi" w:eastAsia="Times New Roman" w:hAnsiTheme="majorBidi" w:cstheme="majorBidi"/>
          <w:sz w:val="24"/>
          <w:szCs w:val="24"/>
          <w:lang w:val="en-GB" w:eastAsia="en-GB"/>
        </w:rPr>
        <w:t>she</w:t>
      </w:r>
      <w:r w:rsidR="00005D2D" w:rsidRPr="00F64509">
        <w:rPr>
          <w:rFonts w:asciiTheme="majorBidi" w:eastAsia="Times New Roman" w:hAnsiTheme="majorBidi" w:cstheme="majorBidi"/>
          <w:sz w:val="24"/>
          <w:szCs w:val="24"/>
          <w:lang w:val="en-GB" w:eastAsia="en-GB"/>
        </w:rPr>
        <w:t xml:space="preserve"> </w:t>
      </w:r>
      <w:r w:rsidRPr="00F64509">
        <w:rPr>
          <w:rFonts w:asciiTheme="majorBidi" w:eastAsia="Times New Roman" w:hAnsiTheme="majorBidi" w:cstheme="majorBidi"/>
          <w:sz w:val="24"/>
          <w:szCs w:val="24"/>
          <w:lang w:val="en-GB" w:eastAsia="en-GB"/>
        </w:rPr>
        <w:t xml:space="preserve">not hinged on some certainties, the sceptic could not even formulate </w:t>
      </w:r>
      <w:r w:rsidR="00B05F99" w:rsidRPr="00F64509">
        <w:rPr>
          <w:rFonts w:asciiTheme="majorBidi" w:eastAsia="Times New Roman" w:hAnsiTheme="majorBidi" w:cstheme="majorBidi"/>
          <w:sz w:val="24"/>
          <w:szCs w:val="24"/>
          <w:lang w:val="en-GB" w:eastAsia="en-GB"/>
        </w:rPr>
        <w:t>her</w:t>
      </w:r>
      <w:r w:rsidR="00005D2D" w:rsidRPr="00F64509">
        <w:rPr>
          <w:rFonts w:asciiTheme="majorBidi" w:eastAsia="Times New Roman" w:hAnsiTheme="majorBidi" w:cstheme="majorBidi"/>
          <w:sz w:val="24"/>
          <w:szCs w:val="24"/>
          <w:lang w:val="en-GB" w:eastAsia="en-GB"/>
        </w:rPr>
        <w:t xml:space="preserve"> </w:t>
      </w:r>
      <w:r w:rsidRPr="00F64509">
        <w:rPr>
          <w:rFonts w:asciiTheme="majorBidi" w:eastAsia="Times New Roman" w:hAnsiTheme="majorBidi" w:cstheme="majorBidi"/>
          <w:sz w:val="24"/>
          <w:szCs w:val="24"/>
          <w:lang w:val="en-GB" w:eastAsia="en-GB"/>
        </w:rPr>
        <w:t>doubt:</w:t>
      </w:r>
    </w:p>
    <w:p w14:paraId="4B73FCDB" w14:textId="7D8BA498" w:rsidR="0093745C" w:rsidRPr="00F64509" w:rsidRDefault="0093745C" w:rsidP="00104E28">
      <w:pPr>
        <w:spacing w:line="480" w:lineRule="auto"/>
        <w:ind w:left="820" w:right="940"/>
        <w:jc w:val="both"/>
        <w:rPr>
          <w:rFonts w:asciiTheme="majorBidi" w:eastAsia="Times New Roman" w:hAnsiTheme="majorBidi" w:cstheme="majorBidi"/>
          <w:sz w:val="24"/>
          <w:szCs w:val="24"/>
          <w:lang w:val="en-GB" w:eastAsia="en-GB" w:bidi="sa-IN"/>
        </w:rPr>
      </w:pPr>
      <w:r w:rsidRPr="00F64509">
        <w:rPr>
          <w:rFonts w:asciiTheme="majorBidi" w:eastAsia="Times New Roman" w:hAnsiTheme="majorBidi" w:cstheme="majorBidi"/>
          <w:sz w:val="24"/>
          <w:szCs w:val="24"/>
          <w:lang w:val="en-GB" w:eastAsia="en-GB" w:bidi="sa-IN"/>
        </w:rPr>
        <w:t xml:space="preserve">The fact that I use the word </w:t>
      </w:r>
      <w:r w:rsidR="00005D2D" w:rsidRPr="00F64509">
        <w:rPr>
          <w:rFonts w:asciiTheme="majorBidi" w:eastAsia="Times New Roman" w:hAnsiTheme="majorBidi" w:cstheme="majorBidi"/>
          <w:sz w:val="24"/>
          <w:szCs w:val="24"/>
          <w:lang w:val="en-GB" w:eastAsia="en-GB" w:bidi="sa-IN"/>
        </w:rPr>
        <w:t xml:space="preserve">“hand” </w:t>
      </w:r>
      <w:r w:rsidRPr="00F64509">
        <w:rPr>
          <w:rFonts w:asciiTheme="majorBidi" w:eastAsia="Times New Roman" w:hAnsiTheme="majorBidi" w:cstheme="majorBidi"/>
          <w:sz w:val="24"/>
          <w:szCs w:val="24"/>
          <w:lang w:val="en-GB" w:eastAsia="en-GB" w:bidi="sa-IN"/>
        </w:rPr>
        <w:t xml:space="preserve">and all the other words in my sentence without a second thought, indeed that I should stand before the abyss if I wanted so much as to try doubting their meanings – shews that absence of doubt belongs to the essence of the language-game, that the question </w:t>
      </w:r>
      <w:r w:rsidR="00005D2D" w:rsidRPr="00F64509">
        <w:rPr>
          <w:rFonts w:asciiTheme="majorBidi" w:eastAsia="Times New Roman" w:hAnsiTheme="majorBidi" w:cstheme="majorBidi"/>
          <w:sz w:val="24"/>
          <w:szCs w:val="24"/>
          <w:lang w:val="en-GB" w:eastAsia="en-GB" w:bidi="sa-IN"/>
        </w:rPr>
        <w:t>“</w:t>
      </w:r>
      <w:r w:rsidRPr="00F64509">
        <w:rPr>
          <w:rFonts w:asciiTheme="majorBidi" w:eastAsia="Times New Roman" w:hAnsiTheme="majorBidi" w:cstheme="majorBidi"/>
          <w:sz w:val="24"/>
          <w:szCs w:val="24"/>
          <w:lang w:val="en-GB" w:eastAsia="en-GB" w:bidi="sa-IN"/>
        </w:rPr>
        <w:t>How do I know...</w:t>
      </w:r>
      <w:r w:rsidR="00005D2D" w:rsidRPr="00F64509">
        <w:rPr>
          <w:rFonts w:asciiTheme="majorBidi" w:eastAsia="Times New Roman" w:hAnsiTheme="majorBidi" w:cstheme="majorBidi"/>
          <w:sz w:val="24"/>
          <w:szCs w:val="24"/>
          <w:lang w:val="en-GB" w:eastAsia="en-GB" w:bidi="sa-IN"/>
        </w:rPr>
        <w:t>”</w:t>
      </w:r>
      <w:r w:rsidRPr="00F64509">
        <w:rPr>
          <w:rFonts w:asciiTheme="majorBidi" w:eastAsia="Times New Roman" w:hAnsiTheme="majorBidi" w:cstheme="majorBidi"/>
          <w:sz w:val="24"/>
          <w:szCs w:val="24"/>
          <w:lang w:val="en-GB" w:eastAsia="en-GB" w:bidi="sa-IN"/>
        </w:rPr>
        <w:t xml:space="preserve"> drags out the language-game, or else does away with it.</w:t>
      </w:r>
      <w:r w:rsidRPr="00F64509">
        <w:rPr>
          <w:rFonts w:asciiTheme="majorBidi" w:eastAsia="Times New Roman" w:hAnsiTheme="majorBidi" w:cstheme="majorBidi"/>
          <w:sz w:val="24"/>
          <w:szCs w:val="24"/>
          <w:lang w:val="en-GB" w:eastAsia="en-GB"/>
        </w:rPr>
        <w:t xml:space="preserve"> (OC 370)</w:t>
      </w:r>
    </w:p>
    <w:p w14:paraId="3B71179A" w14:textId="42222EB9" w:rsidR="00E92AA8" w:rsidRPr="00F64509" w:rsidRDefault="0093745C" w:rsidP="00F64509">
      <w:pPr>
        <w:spacing w:line="480" w:lineRule="auto"/>
        <w:ind w:right="-20"/>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lastRenderedPageBreak/>
        <w:t>Its being essential to our making sense means that this certainty underpins all our questions and doubts (OC 341) including the sceptic</w:t>
      </w:r>
      <w:r w:rsidR="00B53A7E" w:rsidRPr="00F64509">
        <w:rPr>
          <w:rFonts w:asciiTheme="majorBidi" w:eastAsia="Times New Roman" w:hAnsiTheme="majorBidi" w:cstheme="majorBidi"/>
          <w:sz w:val="24"/>
          <w:szCs w:val="24"/>
          <w:lang w:val="en-GB" w:eastAsia="en-GB"/>
        </w:rPr>
        <w:t>’</w:t>
      </w:r>
      <w:r w:rsidRPr="00F64509">
        <w:rPr>
          <w:rFonts w:asciiTheme="majorBidi" w:eastAsia="Times New Roman" w:hAnsiTheme="majorBidi" w:cstheme="majorBidi"/>
          <w:sz w:val="24"/>
          <w:szCs w:val="24"/>
          <w:lang w:val="en-GB" w:eastAsia="en-GB"/>
        </w:rPr>
        <w:t xml:space="preserve">s universal doubt, thereby invalidating it. At </w:t>
      </w:r>
      <w:r w:rsidR="00005D2D" w:rsidRPr="00F64509">
        <w:rPr>
          <w:rFonts w:asciiTheme="majorBidi" w:eastAsia="Times New Roman" w:hAnsiTheme="majorBidi" w:cstheme="majorBidi"/>
          <w:sz w:val="24"/>
          <w:szCs w:val="24"/>
          <w:lang w:val="en-GB" w:eastAsia="en-GB"/>
        </w:rPr>
        <w:t>“</w:t>
      </w:r>
      <w:r w:rsidRPr="00F64509">
        <w:rPr>
          <w:rFonts w:asciiTheme="majorBidi" w:eastAsia="Calibri" w:hAnsiTheme="majorBidi" w:cstheme="majorBidi"/>
          <w:sz w:val="24"/>
          <w:szCs w:val="24"/>
          <w:lang w:val="en-GB"/>
        </w:rPr>
        <w:t>the foundation of all operating with thoughts (with language)</w:t>
      </w:r>
      <w:r w:rsidR="00005D2D" w:rsidRPr="00F64509">
        <w:rPr>
          <w:rFonts w:asciiTheme="majorBidi" w:eastAsia="Calibri" w:hAnsiTheme="majorBidi" w:cstheme="majorBidi"/>
          <w:sz w:val="24"/>
          <w:szCs w:val="24"/>
          <w:lang w:val="en-GB"/>
        </w:rPr>
        <w:t>”</w:t>
      </w:r>
      <w:r w:rsidRPr="00F64509">
        <w:rPr>
          <w:rFonts w:asciiTheme="majorBidi" w:eastAsia="Calibri" w:hAnsiTheme="majorBidi" w:cstheme="majorBidi"/>
          <w:sz w:val="24"/>
          <w:szCs w:val="24"/>
          <w:lang w:val="en-GB"/>
        </w:rPr>
        <w:t xml:space="preserve"> (OC 401) is an essential certainty, a certainty endorsed every time a doubt (towards it) is formulated</w:t>
      </w:r>
      <w:r w:rsidR="00887EB7" w:rsidRPr="00F64509">
        <w:rPr>
          <w:rFonts w:asciiTheme="majorBidi" w:eastAsia="Calibri" w:hAnsiTheme="majorBidi" w:cstheme="majorBidi"/>
          <w:sz w:val="24"/>
          <w:szCs w:val="24"/>
          <w:lang w:val="en-GB"/>
        </w:rPr>
        <w:t>:</w:t>
      </w:r>
      <w:r w:rsidRPr="00F64509">
        <w:rPr>
          <w:rFonts w:asciiTheme="majorBidi" w:eastAsia="Times New Roman" w:hAnsiTheme="majorBidi" w:cstheme="majorBidi"/>
          <w:sz w:val="24"/>
          <w:szCs w:val="24"/>
          <w:lang w:val="en-GB" w:eastAsia="en-GB" w:bidi="sa-IN"/>
        </w:rPr>
        <w:t xml:space="preserve"> </w:t>
      </w:r>
      <w:r w:rsidR="00005D2D" w:rsidRPr="00F64509">
        <w:rPr>
          <w:rFonts w:asciiTheme="majorBidi" w:eastAsia="Times New Roman" w:hAnsiTheme="majorBidi" w:cstheme="majorBidi"/>
          <w:sz w:val="24"/>
          <w:szCs w:val="24"/>
          <w:lang w:val="en-GB" w:eastAsia="en-GB" w:bidi="sa-IN"/>
        </w:rPr>
        <w:t>“</w:t>
      </w:r>
      <w:r w:rsidRPr="00F64509">
        <w:rPr>
          <w:rFonts w:asciiTheme="majorBidi" w:eastAsia="Times New Roman" w:hAnsiTheme="majorBidi" w:cstheme="majorBidi"/>
          <w:sz w:val="24"/>
          <w:szCs w:val="24"/>
          <w:lang w:val="en-GB" w:eastAsia="en-GB" w:bidi="sa-IN"/>
        </w:rPr>
        <w:t>If you tried to doubt everything you would not get as far as doubting anything. The game of doubting itself presupposes certainty</w:t>
      </w:r>
      <w:r w:rsidR="00005D2D" w:rsidRPr="00F64509">
        <w:rPr>
          <w:rFonts w:asciiTheme="majorBidi" w:eastAsia="Times New Roman" w:hAnsiTheme="majorBidi" w:cstheme="majorBidi"/>
          <w:sz w:val="24"/>
          <w:szCs w:val="24"/>
          <w:lang w:val="en-GB" w:eastAsia="en-GB" w:bidi="sa-IN"/>
        </w:rPr>
        <w:t>”</w:t>
      </w:r>
      <w:r w:rsidRPr="00F64509">
        <w:rPr>
          <w:rFonts w:asciiTheme="majorBidi" w:eastAsia="Times New Roman" w:hAnsiTheme="majorBidi" w:cstheme="majorBidi"/>
          <w:sz w:val="24"/>
          <w:szCs w:val="24"/>
          <w:lang w:val="en-GB" w:eastAsia="en-GB" w:bidi="sa-IN"/>
        </w:rPr>
        <w:t xml:space="preserve"> (OC 115)</w:t>
      </w:r>
      <w:r w:rsidR="00F30BD1" w:rsidRPr="00F64509">
        <w:rPr>
          <w:rFonts w:asciiTheme="majorBidi" w:eastAsia="Times New Roman" w:hAnsiTheme="majorBidi" w:cstheme="majorBidi"/>
          <w:sz w:val="24"/>
          <w:szCs w:val="24"/>
          <w:lang w:val="en-GB" w:eastAsia="en-GB" w:bidi="sa-IN"/>
        </w:rPr>
        <w:t>;</w:t>
      </w:r>
      <w:r w:rsidR="00F30BD1" w:rsidRPr="00F64509">
        <w:rPr>
          <w:rFonts w:asciiTheme="majorBidi" w:eastAsia="Times New Roman" w:hAnsiTheme="majorBidi" w:cstheme="majorBidi"/>
          <w:sz w:val="24"/>
          <w:szCs w:val="24"/>
          <w:lang w:val="en-GB" w:eastAsia="en-GB"/>
        </w:rPr>
        <w:t xml:space="preserve"> </w:t>
      </w:r>
      <w:r w:rsidR="00005D2D" w:rsidRPr="00F64509">
        <w:rPr>
          <w:rFonts w:asciiTheme="majorBidi" w:eastAsia="Times New Roman" w:hAnsiTheme="majorBidi" w:cstheme="majorBidi"/>
          <w:sz w:val="24"/>
          <w:szCs w:val="24"/>
          <w:lang w:val="en-GB" w:eastAsia="en-GB"/>
        </w:rPr>
        <w:t>“</w:t>
      </w:r>
      <w:r w:rsidR="00F30BD1" w:rsidRPr="00F64509">
        <w:rPr>
          <w:rFonts w:asciiTheme="majorBidi" w:eastAsia="Calibri" w:hAnsiTheme="majorBidi" w:cstheme="majorBidi"/>
          <w:sz w:val="24"/>
          <w:szCs w:val="24"/>
          <w:lang w:val="en-GB"/>
        </w:rPr>
        <w:t>A doubt that doubted everything would not be a doubt</w:t>
      </w:r>
      <w:r w:rsidR="00005D2D" w:rsidRPr="00F64509">
        <w:rPr>
          <w:rFonts w:asciiTheme="majorBidi" w:eastAsia="Calibri" w:hAnsiTheme="majorBidi" w:cstheme="majorBidi"/>
          <w:sz w:val="24"/>
          <w:szCs w:val="24"/>
          <w:lang w:val="en-GB"/>
        </w:rPr>
        <w:t>”</w:t>
      </w:r>
      <w:r w:rsidR="00F30BD1" w:rsidRPr="00F64509">
        <w:rPr>
          <w:rFonts w:asciiTheme="majorBidi" w:eastAsia="Times New Roman" w:hAnsiTheme="majorBidi" w:cstheme="majorBidi"/>
          <w:sz w:val="24"/>
          <w:szCs w:val="24"/>
          <w:lang w:val="en-GB" w:eastAsia="en-GB" w:bidi="sa-IN"/>
        </w:rPr>
        <w:t xml:space="preserve"> (OC 450)</w:t>
      </w:r>
      <w:r w:rsidRPr="00F64509">
        <w:rPr>
          <w:rFonts w:asciiTheme="majorBidi" w:eastAsia="Times New Roman" w:hAnsiTheme="majorBidi" w:cstheme="majorBidi"/>
          <w:sz w:val="24"/>
          <w:szCs w:val="24"/>
          <w:lang w:val="en-GB" w:eastAsia="en-GB" w:bidi="sa-IN"/>
        </w:rPr>
        <w:t>.</w:t>
      </w:r>
    </w:p>
    <w:p w14:paraId="5A8B4FD5" w14:textId="4F784800" w:rsidR="001B2FAD" w:rsidRPr="00F64509" w:rsidRDefault="00E92AA8" w:rsidP="005C1A70">
      <w:pPr>
        <w:spacing w:line="480" w:lineRule="auto"/>
        <w:jc w:val="both"/>
        <w:rPr>
          <w:rFonts w:asciiTheme="majorBidi" w:eastAsia="Times New Roman" w:hAnsiTheme="majorBidi" w:cstheme="majorBidi"/>
          <w:sz w:val="24"/>
          <w:szCs w:val="24"/>
          <w:lang w:val="en-GB" w:eastAsia="en-GB"/>
        </w:rPr>
      </w:pPr>
      <w:r w:rsidRPr="00F64509">
        <w:rPr>
          <w:rFonts w:asciiTheme="majorBidi" w:eastAsia="Times New Roman" w:hAnsiTheme="majorBidi" w:cstheme="majorBidi"/>
          <w:sz w:val="24"/>
          <w:szCs w:val="24"/>
          <w:lang w:val="en-GB" w:eastAsia="en-GB"/>
        </w:rPr>
        <w:t xml:space="preserve">Some commentators have expressed resistance principally to the nonepistemic </w:t>
      </w:r>
      <w:r w:rsidR="001B2FAD" w:rsidRPr="00F64509">
        <w:rPr>
          <w:rFonts w:asciiTheme="majorBidi" w:eastAsia="Times New Roman" w:hAnsiTheme="majorBidi" w:cstheme="majorBidi"/>
          <w:sz w:val="24"/>
          <w:szCs w:val="24"/>
          <w:lang w:val="en-GB" w:eastAsia="en-GB"/>
        </w:rPr>
        <w:t>and</w:t>
      </w:r>
      <w:r w:rsidRPr="00F64509">
        <w:rPr>
          <w:rFonts w:asciiTheme="majorBidi" w:eastAsia="Times New Roman" w:hAnsiTheme="majorBidi" w:cstheme="majorBidi"/>
          <w:sz w:val="24"/>
          <w:szCs w:val="24"/>
          <w:lang w:val="en-GB" w:eastAsia="en-GB"/>
        </w:rPr>
        <w:t xml:space="preserve"> the nonpropositional feature</w:t>
      </w:r>
      <w:r w:rsidR="001B2FAD" w:rsidRPr="00F64509">
        <w:rPr>
          <w:rFonts w:asciiTheme="majorBidi" w:eastAsia="Times New Roman" w:hAnsiTheme="majorBidi" w:cstheme="majorBidi"/>
          <w:sz w:val="24"/>
          <w:szCs w:val="24"/>
          <w:lang w:val="en-GB" w:eastAsia="en-GB"/>
        </w:rPr>
        <w:t>s</w:t>
      </w:r>
      <w:r w:rsidRPr="00F64509">
        <w:rPr>
          <w:rFonts w:asciiTheme="majorBidi" w:eastAsia="Times New Roman" w:hAnsiTheme="majorBidi" w:cstheme="majorBidi"/>
          <w:sz w:val="24"/>
          <w:szCs w:val="24"/>
          <w:lang w:val="en-GB" w:eastAsia="en-GB"/>
        </w:rPr>
        <w:t xml:space="preserve"> of hinge certainty. This, </w:t>
      </w:r>
      <w:r w:rsidR="003225C4" w:rsidRPr="00F64509">
        <w:rPr>
          <w:rFonts w:asciiTheme="majorBidi" w:eastAsia="Times New Roman" w:hAnsiTheme="majorBidi" w:cstheme="majorBidi"/>
          <w:sz w:val="24"/>
          <w:szCs w:val="24"/>
          <w:lang w:val="en-GB" w:eastAsia="en-GB"/>
        </w:rPr>
        <w:t>according to Moyal-Sharrock</w:t>
      </w:r>
      <w:r w:rsidRPr="00F64509">
        <w:rPr>
          <w:rFonts w:asciiTheme="majorBidi" w:eastAsia="Times New Roman" w:hAnsiTheme="majorBidi" w:cstheme="majorBidi"/>
          <w:sz w:val="24"/>
          <w:szCs w:val="24"/>
          <w:lang w:val="en-GB" w:eastAsia="en-GB"/>
        </w:rPr>
        <w:t xml:space="preserve">, is due to two deeper layers of resistance. It is difficult for epistemologists to give up the idea that knowledge is our fundamental form of conviction. This would mean, as Duncan Pritchard puts it, </w:t>
      </w:r>
      <w:r w:rsidR="00005D2D" w:rsidRPr="00F64509">
        <w:rPr>
          <w:rFonts w:asciiTheme="majorBidi" w:eastAsia="Times New Roman" w:hAnsiTheme="majorBidi" w:cstheme="majorBidi"/>
          <w:sz w:val="24"/>
          <w:szCs w:val="24"/>
          <w:lang w:val="en-GB" w:eastAsia="en-GB"/>
        </w:rPr>
        <w:t>“</w:t>
      </w:r>
      <w:r w:rsidRPr="00F64509">
        <w:rPr>
          <w:rFonts w:asciiTheme="majorBidi" w:eastAsia="Calibri" w:hAnsiTheme="majorBidi" w:cstheme="majorBidi"/>
          <w:sz w:val="24"/>
          <w:szCs w:val="24"/>
          <w:lang w:val="en-GB" w:eastAsia="en-GB" w:bidi="he-IL"/>
        </w:rPr>
        <w:t>granting that an awful lot of what we take ourselves to know is in fact unknown</w:t>
      </w:r>
      <w:r w:rsidR="00005D2D" w:rsidRPr="00F64509">
        <w:rPr>
          <w:rFonts w:asciiTheme="majorBidi" w:eastAsia="Calibri" w:hAnsiTheme="majorBidi" w:cstheme="majorBidi"/>
          <w:sz w:val="24"/>
          <w:szCs w:val="24"/>
          <w:lang w:val="en-GB" w:eastAsia="en-GB" w:bidi="he-IL"/>
        </w:rPr>
        <w:t>”</w:t>
      </w:r>
      <w:r w:rsidRPr="00F64509">
        <w:rPr>
          <w:rFonts w:asciiTheme="majorBidi" w:eastAsia="Calibri" w:hAnsiTheme="majorBidi" w:cstheme="majorBidi"/>
          <w:sz w:val="24"/>
          <w:szCs w:val="24"/>
          <w:lang w:val="en-GB" w:eastAsia="en-GB" w:bidi="he-IL"/>
        </w:rPr>
        <w:t xml:space="preserve"> (2011, 268-9). But that is a psychological, not a logical difficulty.</w:t>
      </w:r>
      <w:r w:rsidRPr="00F64509">
        <w:rPr>
          <w:rFonts w:asciiTheme="majorBidi" w:eastAsia="Times New Roman" w:hAnsiTheme="majorBidi" w:cstheme="majorBidi"/>
          <w:sz w:val="24"/>
          <w:szCs w:val="24"/>
          <w:lang w:val="en-GB" w:eastAsia="en-GB"/>
        </w:rPr>
        <w:t xml:space="preserve"> Once this is crossed, the next real barrier is nonpropositionality. Propositionality is difficult for the epistemologist to give </w:t>
      </w:r>
      <w:r w:rsidRPr="00F64509">
        <w:rPr>
          <w:rFonts w:asciiTheme="majorBidi" w:eastAsia="Times New Roman" w:hAnsiTheme="majorBidi" w:cstheme="majorBidi"/>
          <w:color w:val="000000"/>
          <w:sz w:val="24"/>
          <w:szCs w:val="24"/>
          <w:lang w:val="en-GB" w:eastAsia="en-GB"/>
        </w:rPr>
        <w:t xml:space="preserve">up because its absence makes room for the </w:t>
      </w:r>
      <w:r w:rsidR="00005D2D" w:rsidRPr="00F64509">
        <w:rPr>
          <w:rFonts w:asciiTheme="majorBidi" w:eastAsia="Times New Roman" w:hAnsiTheme="majorBidi" w:cstheme="majorBidi"/>
          <w:color w:val="000000"/>
          <w:sz w:val="24"/>
          <w:szCs w:val="24"/>
          <w:lang w:val="en-GB" w:eastAsia="en-GB"/>
        </w:rPr>
        <w:t>“</w:t>
      </w:r>
      <w:r w:rsidRPr="00F64509">
        <w:rPr>
          <w:rFonts w:asciiTheme="majorBidi" w:eastAsia="Times New Roman" w:hAnsiTheme="majorBidi" w:cstheme="majorBidi"/>
          <w:color w:val="000000"/>
          <w:sz w:val="24"/>
          <w:szCs w:val="24"/>
          <w:lang w:val="en-GB" w:eastAsia="en-GB"/>
        </w:rPr>
        <w:t>animal</w:t>
      </w:r>
      <w:r w:rsidR="00005D2D" w:rsidRPr="00F64509">
        <w:rPr>
          <w:rFonts w:asciiTheme="majorBidi" w:eastAsia="Times New Roman" w:hAnsiTheme="majorBidi" w:cstheme="majorBidi"/>
          <w:color w:val="000000"/>
          <w:sz w:val="24"/>
          <w:szCs w:val="24"/>
          <w:lang w:val="en-GB" w:eastAsia="en-GB"/>
        </w:rPr>
        <w:t>”</w:t>
      </w:r>
      <w:r w:rsidRPr="00F64509">
        <w:rPr>
          <w:rFonts w:asciiTheme="majorBidi" w:eastAsia="Times New Roman" w:hAnsiTheme="majorBidi" w:cstheme="majorBidi"/>
          <w:color w:val="000000"/>
          <w:sz w:val="24"/>
          <w:szCs w:val="24"/>
          <w:lang w:val="en-GB" w:eastAsia="en-GB"/>
        </w:rPr>
        <w:t xml:space="preserve"> in epistemology; with nonpropositionality, we seem to give up our grip on the rational. But what </w:t>
      </w:r>
      <w:r w:rsidRPr="00F64509">
        <w:rPr>
          <w:rFonts w:asciiTheme="majorBidi" w:eastAsia="Times New Roman" w:hAnsiTheme="majorBidi" w:cstheme="majorBidi"/>
          <w:i/>
          <w:iCs/>
          <w:color w:val="000000"/>
          <w:sz w:val="24"/>
          <w:szCs w:val="24"/>
          <w:lang w:val="en-GB" w:eastAsia="en-GB"/>
        </w:rPr>
        <w:t>On Certainty</w:t>
      </w:r>
      <w:r w:rsidRPr="00F64509">
        <w:rPr>
          <w:rFonts w:asciiTheme="majorBidi" w:eastAsia="Times New Roman" w:hAnsiTheme="majorBidi" w:cstheme="majorBidi"/>
          <w:color w:val="000000"/>
          <w:sz w:val="24"/>
          <w:szCs w:val="24"/>
          <w:lang w:val="en-GB" w:eastAsia="en-GB"/>
        </w:rPr>
        <w:t xml:space="preserve"> shows us is that our distrust of the animal (the arational) and our reliance on propositions are both excessive. It is only by realising that putting ways of acting into sentences is only a means of elucidating our basic, animal, certainty that we can find the </w:t>
      </w:r>
      <w:r w:rsidR="00005D2D" w:rsidRPr="00F64509">
        <w:rPr>
          <w:rFonts w:asciiTheme="majorBidi" w:eastAsia="Times New Roman" w:hAnsiTheme="majorBidi" w:cstheme="majorBidi"/>
          <w:color w:val="000000"/>
          <w:sz w:val="24"/>
          <w:szCs w:val="24"/>
          <w:lang w:val="en-GB" w:eastAsia="en-GB"/>
        </w:rPr>
        <w:t>“</w:t>
      </w:r>
      <w:r w:rsidRPr="00F64509">
        <w:rPr>
          <w:rFonts w:asciiTheme="majorBidi" w:eastAsia="Times New Roman" w:hAnsiTheme="majorBidi" w:cstheme="majorBidi"/>
          <w:color w:val="000000"/>
          <w:sz w:val="24"/>
          <w:szCs w:val="24"/>
          <w:lang w:val="en-GB" w:eastAsia="en-GB"/>
        </w:rPr>
        <w:t>rock bottom of our convictions</w:t>
      </w:r>
      <w:r w:rsidR="00005D2D" w:rsidRPr="00F64509">
        <w:rPr>
          <w:rFonts w:asciiTheme="majorBidi" w:eastAsia="Times New Roman" w:hAnsiTheme="majorBidi" w:cstheme="majorBidi"/>
          <w:color w:val="000000"/>
          <w:sz w:val="24"/>
          <w:szCs w:val="24"/>
          <w:lang w:val="en-GB" w:eastAsia="en-GB"/>
        </w:rPr>
        <w:t>”</w:t>
      </w:r>
      <w:r w:rsidRPr="00F64509">
        <w:rPr>
          <w:rFonts w:asciiTheme="majorBidi" w:eastAsia="Times New Roman" w:hAnsiTheme="majorBidi" w:cstheme="majorBidi"/>
          <w:color w:val="000000"/>
          <w:sz w:val="24"/>
          <w:szCs w:val="24"/>
          <w:lang w:val="en-GB" w:eastAsia="en-GB"/>
        </w:rPr>
        <w:t xml:space="preserve"> (OC 248)</w:t>
      </w:r>
      <w:r w:rsidRPr="00F64509">
        <w:rPr>
          <w:rFonts w:asciiTheme="majorBidi" w:eastAsia="Times New Roman" w:hAnsiTheme="majorBidi" w:cstheme="majorBidi"/>
          <w:sz w:val="24"/>
          <w:szCs w:val="24"/>
          <w:lang w:val="en-GB" w:eastAsia="en-GB"/>
        </w:rPr>
        <w:t>.</w:t>
      </w:r>
      <w:r w:rsidRPr="00F64509">
        <w:rPr>
          <w:rFonts w:asciiTheme="majorBidi" w:eastAsia="Calibri" w:hAnsiTheme="majorBidi" w:cstheme="majorBidi"/>
          <w:sz w:val="24"/>
          <w:szCs w:val="24"/>
          <w:lang w:val="en-GB"/>
        </w:rPr>
        <w:t xml:space="preserve"> </w:t>
      </w:r>
      <w:r w:rsidR="001B2FAD" w:rsidRPr="00F64509">
        <w:rPr>
          <w:rFonts w:asciiTheme="majorBidi" w:eastAsia="Times New Roman" w:hAnsiTheme="majorBidi" w:cstheme="majorBidi"/>
          <w:i/>
          <w:iCs/>
          <w:sz w:val="24"/>
          <w:szCs w:val="24"/>
          <w:lang w:val="en-GB" w:eastAsia="en-GB"/>
        </w:rPr>
        <w:t>On Certainty</w:t>
      </w:r>
      <w:r w:rsidR="001B2FAD" w:rsidRPr="00F64509">
        <w:rPr>
          <w:rFonts w:asciiTheme="majorBidi" w:eastAsia="Times New Roman" w:hAnsiTheme="majorBidi" w:cstheme="majorBidi"/>
          <w:sz w:val="24"/>
          <w:szCs w:val="24"/>
          <w:lang w:val="en-GB" w:eastAsia="en-GB"/>
        </w:rPr>
        <w:t xml:space="preserve"> is a masterful illustration of how philosophy has overloaded the proposition, causing the gap between body and mind, and exaggerating the natural gap between the animal and the human. As Norman Malcolm points out in </w:t>
      </w:r>
      <w:r w:rsidR="00005D2D" w:rsidRPr="00F64509">
        <w:rPr>
          <w:rFonts w:asciiTheme="majorBidi" w:eastAsia="Times New Roman" w:hAnsiTheme="majorBidi" w:cstheme="majorBidi"/>
          <w:sz w:val="24"/>
          <w:szCs w:val="24"/>
          <w:lang w:val="en-GB" w:eastAsia="en-GB"/>
        </w:rPr>
        <w:t>“</w:t>
      </w:r>
      <w:r w:rsidR="001B2FAD" w:rsidRPr="00F64509">
        <w:rPr>
          <w:rFonts w:asciiTheme="majorBidi" w:eastAsia="Times New Roman" w:hAnsiTheme="majorBidi" w:cstheme="majorBidi"/>
          <w:sz w:val="24"/>
          <w:szCs w:val="24"/>
          <w:lang w:val="en-GB" w:eastAsia="en-GB"/>
        </w:rPr>
        <w:t xml:space="preserve">Thoughtless </w:t>
      </w:r>
      <w:r w:rsidR="00005D2D" w:rsidRPr="00F64509">
        <w:rPr>
          <w:rFonts w:asciiTheme="majorBidi" w:eastAsia="Times New Roman" w:hAnsiTheme="majorBidi" w:cstheme="majorBidi"/>
          <w:sz w:val="24"/>
          <w:szCs w:val="24"/>
          <w:lang w:val="en-GB" w:eastAsia="en-GB"/>
        </w:rPr>
        <w:t>b</w:t>
      </w:r>
      <w:r w:rsidR="001B2FAD" w:rsidRPr="00F64509">
        <w:rPr>
          <w:rFonts w:asciiTheme="majorBidi" w:eastAsia="Times New Roman" w:hAnsiTheme="majorBidi" w:cstheme="majorBidi"/>
          <w:sz w:val="24"/>
          <w:szCs w:val="24"/>
          <w:lang w:val="en-GB" w:eastAsia="en-GB"/>
        </w:rPr>
        <w:t>rutes</w:t>
      </w:r>
      <w:r w:rsidR="00005D2D" w:rsidRPr="00F64509">
        <w:rPr>
          <w:rFonts w:asciiTheme="majorBidi" w:eastAsia="Times New Roman" w:hAnsiTheme="majorBidi" w:cstheme="majorBidi"/>
          <w:sz w:val="24"/>
          <w:szCs w:val="24"/>
          <w:lang w:val="en-GB" w:eastAsia="en-GB"/>
        </w:rPr>
        <w:t>”</w:t>
      </w:r>
      <w:r w:rsidR="001B2FAD" w:rsidRPr="00F64509">
        <w:rPr>
          <w:rFonts w:asciiTheme="majorBidi" w:eastAsia="Times New Roman" w:hAnsiTheme="majorBidi" w:cstheme="majorBidi"/>
          <w:sz w:val="24"/>
          <w:szCs w:val="24"/>
          <w:lang w:val="en-GB" w:eastAsia="en-GB"/>
        </w:rPr>
        <w:t>:</w:t>
      </w:r>
    </w:p>
    <w:p w14:paraId="6E193BE8" w14:textId="546F068F" w:rsidR="001B2FAD" w:rsidRPr="005C1A70" w:rsidRDefault="001B2FAD" w:rsidP="005C1A70">
      <w:pPr>
        <w:spacing w:line="480" w:lineRule="auto"/>
        <w:ind w:left="1134" w:right="1371"/>
        <w:jc w:val="both"/>
        <w:rPr>
          <w:rFonts w:asciiTheme="majorBidi" w:eastAsia="Times New Roman" w:hAnsiTheme="majorBidi" w:cstheme="majorBidi"/>
          <w:sz w:val="24"/>
          <w:szCs w:val="24"/>
          <w:lang w:val="en-GB" w:eastAsia="en-GB" w:bidi="sa-IN"/>
        </w:rPr>
      </w:pPr>
      <w:r w:rsidRPr="00F64509">
        <w:rPr>
          <w:rFonts w:asciiTheme="majorBidi" w:eastAsia="Times New Roman" w:hAnsiTheme="majorBidi" w:cstheme="majorBidi"/>
          <w:sz w:val="24"/>
          <w:szCs w:val="24"/>
          <w:lang w:val="en-GB" w:eastAsia="en-GB" w:bidi="sa-IN"/>
        </w:rPr>
        <w:t xml:space="preserve">… the gap between ourselves and at least the higher of the lower animal is not as great as Descartes supposed. His distorted view of the matter was in part due to his doctrine that human mental </w:t>
      </w:r>
      <w:r w:rsidRPr="00F64509">
        <w:rPr>
          <w:rFonts w:asciiTheme="majorBidi" w:eastAsia="Times New Roman" w:hAnsiTheme="majorBidi" w:cstheme="majorBidi"/>
          <w:sz w:val="24"/>
          <w:szCs w:val="24"/>
          <w:lang w:val="en-GB" w:eastAsia="en-GB" w:bidi="sa-IN"/>
        </w:rPr>
        <w:lastRenderedPageBreak/>
        <w:t xml:space="preserve">phenomena are always propositional. His claim that his essential nature is thinking is actually the claim that his essential nature consists in </w:t>
      </w:r>
      <w:r w:rsidRPr="00F64509">
        <w:rPr>
          <w:rFonts w:asciiTheme="majorBidi" w:eastAsia="Times New Roman" w:hAnsiTheme="majorBidi" w:cstheme="majorBidi"/>
          <w:i/>
          <w:sz w:val="24"/>
          <w:szCs w:val="24"/>
          <w:lang w:val="en-GB" w:eastAsia="en-GB" w:bidi="sa-IN"/>
        </w:rPr>
        <w:t>thinking of propositions.</w:t>
      </w:r>
      <w:r w:rsidRPr="00F64509">
        <w:rPr>
          <w:rFonts w:asciiTheme="majorBidi" w:eastAsia="Times New Roman" w:hAnsiTheme="majorBidi" w:cstheme="majorBidi"/>
          <w:sz w:val="24"/>
          <w:szCs w:val="24"/>
          <w:lang w:val="en-GB" w:eastAsia="en-GB" w:bidi="sa-IN"/>
        </w:rPr>
        <w:t xml:space="preserve"> When we see the enormity of this exaggeration of the propositional in human life, our unwillingness to ascribe propositional thinking to animals ought no longer to make us refuse to attribute to them a panoply of forms of feeling, of perception, of realization, of recognition, that are, more often than not, nonpropositional in the human case. (1972-3, 16)</w:t>
      </w:r>
    </w:p>
    <w:p w14:paraId="0AC8BAA7" w14:textId="671C8CAC" w:rsidR="00E92AA8" w:rsidRPr="00F64509" w:rsidRDefault="00E92AA8" w:rsidP="00F64509">
      <w:pPr>
        <w:spacing w:line="480" w:lineRule="auto"/>
        <w:jc w:val="both"/>
        <w:rPr>
          <w:rFonts w:asciiTheme="majorBidi" w:eastAsia="Calibri" w:hAnsiTheme="majorBidi" w:cstheme="majorBidi"/>
          <w:sz w:val="24"/>
          <w:szCs w:val="24"/>
          <w:lang w:val="en-GB"/>
        </w:rPr>
      </w:pPr>
      <w:r w:rsidRPr="00F64509">
        <w:rPr>
          <w:rFonts w:asciiTheme="majorBidi" w:eastAsia="Calibri" w:hAnsiTheme="majorBidi" w:cstheme="majorBidi"/>
          <w:sz w:val="24"/>
          <w:szCs w:val="24"/>
          <w:lang w:val="en-GB"/>
        </w:rPr>
        <w:t xml:space="preserve">In situating the foundation of knowledge in nonreflective certainties that manifest themselves as ways of acting, Wittgenstein has found the </w:t>
      </w:r>
      <w:r w:rsidR="00335DC7" w:rsidRPr="00F64509">
        <w:rPr>
          <w:rFonts w:asciiTheme="majorBidi" w:eastAsia="Calibri" w:hAnsiTheme="majorBidi" w:cstheme="majorBidi"/>
          <w:sz w:val="24"/>
          <w:szCs w:val="24"/>
          <w:lang w:val="en-GB"/>
        </w:rPr>
        <w:t>non-intellectual</w:t>
      </w:r>
      <w:r w:rsidRPr="00F64509">
        <w:rPr>
          <w:rFonts w:asciiTheme="majorBidi" w:eastAsia="Calibri" w:hAnsiTheme="majorBidi" w:cstheme="majorBidi"/>
          <w:sz w:val="24"/>
          <w:szCs w:val="24"/>
          <w:lang w:val="en-GB"/>
        </w:rPr>
        <w:t xml:space="preserve"> source of knowledge, the place where justification comes to an end, thereby solving the regress problem of basic beliefs – and, in passing, shown the logical impossibility of radical scepticism</w:t>
      </w:r>
      <w:r w:rsidR="003F068D">
        <w:rPr>
          <w:rStyle w:val="FootnoteReference"/>
          <w:rFonts w:asciiTheme="majorBidi" w:eastAsia="Calibri" w:hAnsiTheme="majorBidi" w:cstheme="majorBidi"/>
          <w:sz w:val="24"/>
          <w:szCs w:val="24"/>
          <w:lang w:val="en-GB"/>
        </w:rPr>
        <w:footnoteReference w:id="5"/>
      </w:r>
      <w:r w:rsidRPr="00F64509">
        <w:rPr>
          <w:rFonts w:asciiTheme="majorBidi" w:eastAsia="Calibri" w:hAnsiTheme="majorBidi" w:cstheme="majorBidi"/>
          <w:sz w:val="24"/>
          <w:szCs w:val="24"/>
          <w:lang w:val="en-GB"/>
        </w:rPr>
        <w:t xml:space="preserve">. </w:t>
      </w:r>
    </w:p>
    <w:p w14:paraId="6BE9A128" w14:textId="77777777" w:rsidR="00CF75C8" w:rsidRPr="00F64509" w:rsidRDefault="00CF75C8" w:rsidP="00F64509">
      <w:pPr>
        <w:spacing w:line="480" w:lineRule="auto"/>
        <w:jc w:val="both"/>
        <w:textAlignment w:val="baseline"/>
        <w:rPr>
          <w:rFonts w:asciiTheme="majorBidi" w:eastAsia="Times New Roman" w:hAnsiTheme="majorBidi" w:cstheme="majorBidi"/>
          <w:b/>
          <w:bCs/>
          <w:color w:val="000000"/>
          <w:sz w:val="24"/>
          <w:szCs w:val="24"/>
          <w:lang w:eastAsia="it-IT"/>
        </w:rPr>
      </w:pPr>
    </w:p>
    <w:p w14:paraId="46ADC0B1" w14:textId="369355B7" w:rsidR="00CF75C8" w:rsidRPr="005C1A70" w:rsidRDefault="00CF75C8" w:rsidP="005C1A70">
      <w:pPr>
        <w:pStyle w:val="ListParagraph"/>
        <w:numPr>
          <w:ilvl w:val="0"/>
          <w:numId w:val="2"/>
        </w:numPr>
        <w:spacing w:line="480" w:lineRule="auto"/>
        <w:contextualSpacing w:val="0"/>
        <w:jc w:val="both"/>
        <w:textAlignment w:val="baseline"/>
        <w:rPr>
          <w:rFonts w:asciiTheme="majorBidi" w:eastAsia="Times New Roman" w:hAnsiTheme="majorBidi" w:cstheme="majorBidi"/>
          <w:b/>
          <w:bCs/>
          <w:color w:val="000000"/>
          <w:sz w:val="24"/>
          <w:szCs w:val="24"/>
          <w:lang w:eastAsia="it-IT"/>
        </w:rPr>
      </w:pPr>
      <w:r w:rsidRPr="00F64509">
        <w:rPr>
          <w:rFonts w:asciiTheme="majorBidi" w:eastAsia="Times New Roman" w:hAnsiTheme="majorBidi" w:cstheme="majorBidi"/>
          <w:b/>
          <w:bCs/>
          <w:color w:val="000000"/>
          <w:sz w:val="24"/>
          <w:szCs w:val="24"/>
          <w:lang w:eastAsia="it-IT"/>
        </w:rPr>
        <w:t>Pritchard</w:t>
      </w:r>
      <w:r w:rsidR="00B53A7E" w:rsidRPr="00F64509">
        <w:rPr>
          <w:rFonts w:asciiTheme="majorBidi" w:eastAsia="Times New Roman" w:hAnsiTheme="majorBidi" w:cstheme="majorBidi"/>
          <w:b/>
          <w:bCs/>
          <w:color w:val="000000"/>
          <w:sz w:val="24"/>
          <w:szCs w:val="24"/>
          <w:lang w:eastAsia="it-IT"/>
        </w:rPr>
        <w:t>’</w:t>
      </w:r>
      <w:r w:rsidRPr="00F64509">
        <w:rPr>
          <w:rFonts w:asciiTheme="majorBidi" w:eastAsia="Times New Roman" w:hAnsiTheme="majorBidi" w:cstheme="majorBidi"/>
          <w:b/>
          <w:bCs/>
          <w:color w:val="000000"/>
          <w:sz w:val="24"/>
          <w:szCs w:val="24"/>
          <w:lang w:eastAsia="it-IT"/>
        </w:rPr>
        <w:t xml:space="preserve">s </w:t>
      </w:r>
      <w:r w:rsidR="004D5D55">
        <w:rPr>
          <w:rFonts w:asciiTheme="majorBidi" w:eastAsia="Times New Roman" w:hAnsiTheme="majorBidi" w:cstheme="majorBidi"/>
          <w:b/>
          <w:bCs/>
          <w:color w:val="000000"/>
          <w:sz w:val="24"/>
          <w:szCs w:val="24"/>
          <w:lang w:eastAsia="it-IT"/>
        </w:rPr>
        <w:t>restrict</w:t>
      </w:r>
      <w:r w:rsidR="00C355D8">
        <w:rPr>
          <w:rFonts w:asciiTheme="majorBidi" w:eastAsia="Times New Roman" w:hAnsiTheme="majorBidi" w:cstheme="majorBidi"/>
          <w:b/>
          <w:bCs/>
          <w:color w:val="000000"/>
          <w:sz w:val="24"/>
          <w:szCs w:val="24"/>
          <w:lang w:eastAsia="it-IT"/>
        </w:rPr>
        <w:t>ive</w:t>
      </w:r>
      <w:r w:rsidR="004D5D55">
        <w:rPr>
          <w:rFonts w:asciiTheme="majorBidi" w:eastAsia="Times New Roman" w:hAnsiTheme="majorBidi" w:cstheme="majorBidi"/>
          <w:b/>
          <w:bCs/>
          <w:color w:val="000000"/>
          <w:sz w:val="24"/>
          <w:szCs w:val="24"/>
          <w:lang w:eastAsia="it-IT"/>
        </w:rPr>
        <w:t xml:space="preserve"> reading</w:t>
      </w:r>
      <w:r w:rsidR="00AF60B2">
        <w:rPr>
          <w:rFonts w:asciiTheme="majorBidi" w:eastAsia="Times New Roman" w:hAnsiTheme="majorBidi" w:cstheme="majorBidi"/>
          <w:b/>
          <w:bCs/>
          <w:color w:val="000000"/>
          <w:sz w:val="24"/>
          <w:szCs w:val="24"/>
          <w:lang w:eastAsia="it-IT"/>
        </w:rPr>
        <w:t xml:space="preserve"> of hinge commitments</w:t>
      </w:r>
    </w:p>
    <w:p w14:paraId="12C61B33" w14:textId="3307629F" w:rsidR="00CF75C8" w:rsidRPr="00F64509" w:rsidRDefault="00CF75C8" w:rsidP="00F64509">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The starting-point of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version of hinge epistemology is to take seriously Wittgenstein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remarks emphasizing the animal, visceral, nature of our hinge commitments.</w:t>
      </w:r>
      <w:r w:rsidRPr="00F64509">
        <w:rPr>
          <w:rStyle w:val="FootnoteReference"/>
          <w:rFonts w:asciiTheme="majorBidi" w:eastAsia="Times New Roman" w:hAnsiTheme="majorBidi" w:cstheme="majorBidi"/>
          <w:color w:val="000000"/>
          <w:sz w:val="24"/>
          <w:szCs w:val="24"/>
          <w:lang w:eastAsia="it-IT"/>
        </w:rPr>
        <w:footnoteReference w:id="6"/>
      </w:r>
      <w:r w:rsidRPr="00F64509">
        <w:rPr>
          <w:rFonts w:asciiTheme="majorBidi" w:eastAsia="Times New Roman" w:hAnsiTheme="majorBidi" w:cstheme="majorBidi"/>
          <w:color w:val="000000"/>
          <w:sz w:val="24"/>
          <w:szCs w:val="24"/>
          <w:lang w:eastAsia="it-IT"/>
        </w:rPr>
        <w:t xml:space="preserve"> Like Moyal-Sharrock, Pritchard therefore treats our hinge commitments as primarily manifest in a kind of overarching primitive certainty that imbues our actions. Unlike Moyal-Sharrock, however, Pritchard (like Coliva) treats our hinge commitments as a kind of propositional </w:t>
      </w:r>
      <w:r w:rsidRPr="00F64509">
        <w:rPr>
          <w:rFonts w:asciiTheme="majorBidi" w:eastAsia="Times New Roman" w:hAnsiTheme="majorBidi" w:cstheme="majorBidi"/>
          <w:color w:val="000000"/>
          <w:sz w:val="24"/>
          <w:szCs w:val="24"/>
          <w:lang w:eastAsia="it-IT"/>
        </w:rPr>
        <w:lastRenderedPageBreak/>
        <w:t>attitude, albeit of a distinctive type.</w:t>
      </w:r>
      <w:r w:rsidRPr="00F64509">
        <w:rPr>
          <w:rStyle w:val="FootnoteReference"/>
          <w:rFonts w:asciiTheme="majorBidi" w:eastAsia="Times New Roman" w:hAnsiTheme="majorBidi" w:cstheme="majorBidi"/>
          <w:color w:val="000000"/>
          <w:sz w:val="24"/>
          <w:szCs w:val="24"/>
          <w:lang w:eastAsia="it-IT"/>
        </w:rPr>
        <w:footnoteReference w:id="7"/>
      </w:r>
      <w:r w:rsidRPr="00F64509">
        <w:rPr>
          <w:rFonts w:asciiTheme="majorBidi" w:eastAsia="Times New Roman" w:hAnsiTheme="majorBidi" w:cstheme="majorBidi"/>
          <w:color w:val="000000"/>
          <w:sz w:val="24"/>
          <w:szCs w:val="24"/>
          <w:lang w:eastAsia="it-IT"/>
        </w:rPr>
        <w:t xml:space="preserve"> Like many other commentators, Pritchard regards our hinge commitments as arational in virtue of the framework role that they play in our practices of rational evaluation. In particular, since the framework provided by the hinge certainty is required in order for rational evaluations to occur, so it follows that our hinge commitments cannot be themselves subject to rational evaluation, and hence are arationally held. </w:t>
      </w:r>
    </w:p>
    <w:p w14:paraId="550E1F49" w14:textId="3351C721" w:rsidR="00CF75C8" w:rsidRPr="00F64509" w:rsidRDefault="00CF75C8" w:rsidP="00F64509">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A key move in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proposal is to claim that our hinge commitments are not ordinary </w:t>
      </w:r>
      <w:bookmarkStart w:id="9" w:name="_Hlk209577029"/>
      <w:r w:rsidRPr="00F64509">
        <w:rPr>
          <w:rFonts w:asciiTheme="majorBidi" w:eastAsia="Times New Roman" w:hAnsiTheme="majorBidi" w:cstheme="majorBidi"/>
          <w:color w:val="000000"/>
          <w:sz w:val="24"/>
          <w:szCs w:val="24"/>
          <w:lang w:eastAsia="it-IT"/>
        </w:rPr>
        <w:t xml:space="preserve">knowledge-apt </w:t>
      </w:r>
      <w:bookmarkEnd w:id="9"/>
      <w:r w:rsidRPr="00F64509">
        <w:rPr>
          <w:rFonts w:asciiTheme="majorBidi" w:eastAsia="Times New Roman" w:hAnsiTheme="majorBidi" w:cstheme="majorBidi"/>
          <w:color w:val="000000"/>
          <w:sz w:val="24"/>
          <w:szCs w:val="24"/>
          <w:lang w:eastAsia="it-IT"/>
        </w:rPr>
        <w:t>(</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K-apt</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 beliefs. He has thus described his proposal at times as a </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non-belief</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 reading (e.g., Pritchard 2015a). It is important to note, however, that Pritchard is </w:t>
      </w:r>
      <w:r w:rsidRPr="00F64509">
        <w:rPr>
          <w:rFonts w:asciiTheme="majorBidi" w:eastAsia="Times New Roman" w:hAnsiTheme="majorBidi" w:cstheme="majorBidi"/>
          <w:i/>
          <w:iCs/>
          <w:color w:val="000000"/>
          <w:sz w:val="24"/>
          <w:szCs w:val="24"/>
          <w:lang w:eastAsia="it-IT"/>
        </w:rPr>
        <w:t>not</w:t>
      </w:r>
      <w:r w:rsidRPr="00F64509">
        <w:rPr>
          <w:rFonts w:asciiTheme="majorBidi" w:eastAsia="Times New Roman" w:hAnsiTheme="majorBidi" w:cstheme="majorBidi"/>
          <w:color w:val="000000"/>
          <w:sz w:val="24"/>
          <w:szCs w:val="24"/>
          <w:lang w:eastAsia="it-IT"/>
        </w:rPr>
        <w:t xml:space="preserve"> claiming that our hinge commitments fail to be beliefs in the folk sense of that term (he claims that they </w:t>
      </w:r>
      <w:r w:rsidRPr="00F64509">
        <w:rPr>
          <w:rFonts w:asciiTheme="majorBidi" w:eastAsia="Times New Roman" w:hAnsiTheme="majorBidi" w:cstheme="majorBidi"/>
          <w:i/>
          <w:iCs/>
          <w:color w:val="000000"/>
          <w:sz w:val="24"/>
          <w:szCs w:val="24"/>
          <w:lang w:eastAsia="it-IT"/>
        </w:rPr>
        <w:t>are</w:t>
      </w:r>
      <w:r w:rsidRPr="00F64509">
        <w:rPr>
          <w:rFonts w:asciiTheme="majorBidi" w:eastAsia="Times New Roman" w:hAnsiTheme="majorBidi" w:cstheme="majorBidi"/>
          <w:color w:val="000000"/>
          <w:sz w:val="24"/>
          <w:szCs w:val="24"/>
          <w:lang w:eastAsia="it-IT"/>
        </w:rPr>
        <w:t xml:space="preserve"> beliefs in this sense of the term), but only in a </w:t>
      </w:r>
      <w:r w:rsidR="00C85B3B" w:rsidRPr="00F64509">
        <w:rPr>
          <w:rFonts w:asciiTheme="majorBidi" w:eastAsia="Times New Roman" w:hAnsiTheme="majorBidi" w:cstheme="majorBidi"/>
          <w:color w:val="000000"/>
          <w:sz w:val="24"/>
          <w:szCs w:val="24"/>
          <w:lang w:eastAsia="it-IT"/>
        </w:rPr>
        <w:t>narrower</w:t>
      </w:r>
      <w:r w:rsidRPr="00F64509">
        <w:rPr>
          <w:rFonts w:asciiTheme="majorBidi" w:eastAsia="Times New Roman" w:hAnsiTheme="majorBidi" w:cstheme="majorBidi"/>
          <w:color w:val="000000"/>
          <w:sz w:val="24"/>
          <w:szCs w:val="24"/>
          <w:lang w:eastAsia="it-IT"/>
        </w:rPr>
        <w:t xml:space="preserve"> sense of belief that is of specific interest to epistemology. Pritchard argues that the folk notion of belief is effectively an umbrella notion, in that it applies to many different kinds of propositional attitude. Accordingly, the bar for counting as a belief in the folk sense of the term is very low. In contrast, Pritchard argues that there is a specific kind of belief that is of particular interest to epistemology—</w:t>
      </w:r>
      <w:r w:rsidRPr="00F64509">
        <w:rPr>
          <w:rFonts w:asciiTheme="majorBidi" w:eastAsia="Times New Roman" w:hAnsiTheme="majorBidi" w:cstheme="majorBidi"/>
          <w:i/>
          <w:iCs/>
          <w:color w:val="000000"/>
          <w:sz w:val="24"/>
          <w:szCs w:val="24"/>
          <w:lang w:eastAsia="it-IT"/>
        </w:rPr>
        <w:t>viz</w:t>
      </w:r>
      <w:r w:rsidRPr="00F64509">
        <w:rPr>
          <w:rFonts w:asciiTheme="majorBidi" w:eastAsia="Times New Roman" w:hAnsiTheme="majorBidi" w:cstheme="majorBidi"/>
          <w:color w:val="000000"/>
          <w:sz w:val="24"/>
          <w:szCs w:val="24"/>
          <w:lang w:eastAsia="it-IT"/>
        </w:rPr>
        <w:t>., that propositional attitude that is a constituent part of rationally grounded knowledge (</w:t>
      </w:r>
      <w:r w:rsidRPr="00F64509">
        <w:rPr>
          <w:rFonts w:asciiTheme="majorBidi" w:eastAsia="Times New Roman" w:hAnsiTheme="majorBidi" w:cstheme="majorBidi"/>
          <w:i/>
          <w:iCs/>
          <w:color w:val="000000"/>
          <w:sz w:val="24"/>
          <w:szCs w:val="24"/>
          <w:lang w:eastAsia="it-IT"/>
        </w:rPr>
        <w:t>K-apt belief</w:t>
      </w:r>
      <w:r w:rsidRPr="00F64509">
        <w:rPr>
          <w:rFonts w:asciiTheme="majorBidi" w:eastAsia="Times New Roman" w:hAnsiTheme="majorBidi" w:cstheme="majorBidi"/>
          <w:color w:val="000000"/>
          <w:sz w:val="24"/>
          <w:szCs w:val="24"/>
          <w:lang w:eastAsia="it-IT"/>
        </w:rPr>
        <w:t xml:space="preserve">). Pritchard maintains that K-apt belief bears some basic connections to truth and reasons that are not always appliable to folk belief. In particular, he argues that one cannot K-apt believe that </w:t>
      </w:r>
      <w:r w:rsidRPr="00F64509">
        <w:rPr>
          <w:rFonts w:asciiTheme="majorBidi" w:eastAsia="Times New Roman" w:hAnsiTheme="majorBidi" w:cstheme="majorBidi"/>
          <w:i/>
          <w:iCs/>
          <w:color w:val="000000"/>
          <w:sz w:val="24"/>
          <w:szCs w:val="24"/>
          <w:lang w:eastAsia="it-IT"/>
        </w:rPr>
        <w:t xml:space="preserve">p </w:t>
      </w:r>
      <w:r w:rsidRPr="00F64509">
        <w:rPr>
          <w:rFonts w:asciiTheme="majorBidi" w:eastAsia="Times New Roman" w:hAnsiTheme="majorBidi" w:cstheme="majorBidi"/>
          <w:color w:val="000000"/>
          <w:sz w:val="24"/>
          <w:szCs w:val="24"/>
          <w:lang w:eastAsia="it-IT"/>
        </w:rPr>
        <w:t xml:space="preserve">while simultaneously recognizing that one has no rational basis for the truth of </w:t>
      </w:r>
      <w:r w:rsidRPr="00F64509">
        <w:rPr>
          <w:rFonts w:asciiTheme="majorBidi" w:eastAsia="Times New Roman" w:hAnsiTheme="majorBidi" w:cstheme="majorBidi"/>
          <w:i/>
          <w:iCs/>
          <w:color w:val="000000"/>
          <w:sz w:val="24"/>
          <w:szCs w:val="24"/>
          <w:lang w:eastAsia="it-IT"/>
        </w:rPr>
        <w:t>p</w:t>
      </w:r>
      <w:r w:rsidRPr="00F64509">
        <w:rPr>
          <w:rFonts w:asciiTheme="majorBidi" w:eastAsia="Times New Roman" w:hAnsiTheme="majorBidi" w:cstheme="majorBidi"/>
          <w:color w:val="000000"/>
          <w:sz w:val="24"/>
          <w:szCs w:val="24"/>
          <w:lang w:eastAsia="it-IT"/>
        </w:rPr>
        <w:t>. (In contrast, Pritchard claims that the folk conception of belief doesn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t make this demand).</w:t>
      </w:r>
      <w:r w:rsidR="00E72A1F">
        <w:rPr>
          <w:rStyle w:val="FootnoteReference"/>
          <w:rFonts w:asciiTheme="majorBidi" w:eastAsia="Times New Roman" w:hAnsiTheme="majorBidi" w:cstheme="majorBidi"/>
          <w:color w:val="000000"/>
          <w:sz w:val="24"/>
          <w:szCs w:val="24"/>
          <w:lang w:eastAsia="it-IT"/>
        </w:rPr>
        <w:footnoteReference w:id="8"/>
      </w:r>
    </w:p>
    <w:p w14:paraId="19D3105C" w14:textId="0A636F19"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lastRenderedPageBreak/>
        <w:t>This condition on K-apt belief is important for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purposes because he argues that our hinge commitments do not satisfy it. In particular,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hinge commitments are reasons-unresponsive in the sense that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certainty is unaffected by the recognition that one has no rational basis for the truth. (Of course, one might assert that one is less sure of these commitments as a result—as when the sceptical philosopher claims to be doubting them—but the idea is that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actions reveal that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visceral certainty in the hinge commitments is unaffected). More generally, Pritchard argues that not only are our hinge commitments not K-apt beliefs, but that they are also different from a range of other propositional attitudes that we are familiar with, such as acceptance, presupposition, assumption, hypothesis, alief, trusting, and so on. Pritchard accordingly claims that the propositional attitude involved in our hinge commitments is </w:t>
      </w:r>
      <w:r w:rsidRPr="00F64509">
        <w:rPr>
          <w:rFonts w:asciiTheme="majorBidi" w:eastAsia="Times New Roman" w:hAnsiTheme="majorBidi" w:cstheme="majorBidi"/>
          <w:i/>
          <w:iCs/>
          <w:color w:val="000000"/>
          <w:sz w:val="24"/>
          <w:szCs w:val="24"/>
          <w:lang w:eastAsia="it-IT"/>
        </w:rPr>
        <w:t>sui generis</w:t>
      </w:r>
      <w:r w:rsidRPr="00F64509">
        <w:rPr>
          <w:rFonts w:asciiTheme="majorBidi" w:eastAsia="Times New Roman" w:hAnsiTheme="majorBidi" w:cstheme="majorBidi"/>
          <w:color w:val="000000"/>
          <w:sz w:val="24"/>
          <w:szCs w:val="24"/>
          <w:lang w:eastAsia="it-IT"/>
        </w:rPr>
        <w:t>.</w:t>
      </w:r>
      <w:r w:rsidRPr="00F64509">
        <w:rPr>
          <w:rStyle w:val="FootnoteReference"/>
          <w:rFonts w:asciiTheme="majorBidi" w:eastAsia="Times New Roman" w:hAnsiTheme="majorBidi" w:cstheme="majorBidi"/>
          <w:color w:val="000000"/>
          <w:sz w:val="24"/>
          <w:szCs w:val="24"/>
          <w:lang w:eastAsia="it-IT"/>
        </w:rPr>
        <w:footnoteReference w:id="9"/>
      </w:r>
    </w:p>
    <w:p w14:paraId="51274EEC" w14:textId="73551BE5"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A further feature of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proposal is the contention that our hinge commitments to specific propositions, such as that one has hands (in normal conditions) or that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name is such-and-such, are manifestations of an underlying overarching certainty. This is what Pritchard terms the </w:t>
      </w:r>
      <w:r w:rsidRPr="00F64509">
        <w:rPr>
          <w:rFonts w:asciiTheme="majorBidi" w:eastAsia="Times New Roman" w:hAnsiTheme="majorBidi" w:cstheme="majorBidi"/>
          <w:i/>
          <w:iCs/>
          <w:color w:val="000000"/>
          <w:sz w:val="24"/>
          <w:szCs w:val="24"/>
          <w:lang w:eastAsia="it-IT"/>
        </w:rPr>
        <w:t>über hinge commitment</w:t>
      </w:r>
      <w:r w:rsidRPr="00F64509">
        <w:rPr>
          <w:rFonts w:asciiTheme="majorBidi" w:eastAsia="Times New Roman" w:hAnsiTheme="majorBidi" w:cstheme="majorBidi"/>
          <w:color w:val="000000"/>
          <w:sz w:val="24"/>
          <w:szCs w:val="24"/>
          <w:lang w:eastAsia="it-IT"/>
        </w:rPr>
        <w:t>, the content of which is that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overall worldview is not radically and fundamentally mistaken.</w:t>
      </w:r>
      <w:r w:rsidRPr="00F64509">
        <w:rPr>
          <w:rStyle w:val="FootnoteReference"/>
          <w:rFonts w:asciiTheme="majorBidi" w:eastAsia="Times New Roman" w:hAnsiTheme="majorBidi" w:cstheme="majorBidi"/>
          <w:color w:val="000000"/>
          <w:sz w:val="24"/>
          <w:szCs w:val="24"/>
          <w:lang w:eastAsia="it-IT"/>
        </w:rPr>
        <w:footnoteReference w:id="10"/>
      </w:r>
      <w:r w:rsidRPr="00F64509">
        <w:rPr>
          <w:rFonts w:asciiTheme="majorBidi" w:eastAsia="Times New Roman" w:hAnsiTheme="majorBidi" w:cstheme="majorBidi"/>
          <w:color w:val="000000"/>
          <w:sz w:val="24"/>
          <w:szCs w:val="24"/>
          <w:lang w:eastAsia="it-IT"/>
        </w:rPr>
        <w:t xml:space="preserve"> Note that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contention is not that subjects have an occurrent thought with this content. Rather the idea is that this overarching certainty needs to permeate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actions in order for one to enter into the game of reasons and be a rational subject at all.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claim is that a subject</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hinge commitments to specific propositions are a consequence of the über hinge commitment and the subject</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set of K-apt beliefs. This is why, for example, one is hinge committed to having hands </w:t>
      </w:r>
      <w:r w:rsidRPr="00F64509">
        <w:rPr>
          <w:rFonts w:asciiTheme="majorBidi" w:eastAsia="Times New Roman" w:hAnsiTheme="majorBidi" w:cstheme="majorBidi"/>
          <w:color w:val="000000"/>
          <w:sz w:val="24"/>
          <w:szCs w:val="24"/>
          <w:lang w:eastAsia="it-IT"/>
        </w:rPr>
        <w:lastRenderedPageBreak/>
        <w:t>in normal conditions, but not in certain abnormal conditions, such as when one awakes in a hospital bed after a large explosion. In these abnormal conditions it can make perfect sense to form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(K-apt) belief that one has hands on the basis that one can see that one has hands (something that would be incoherent in normal conditions). The point is that in the latter case circumstances are different and hence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set of K-apt beliefs are different too. Accordingly, which hinge commitments to specific propositions manifest the über hinge commitment will change too.</w:t>
      </w:r>
    </w:p>
    <w:p w14:paraId="6C0B81BB" w14:textId="3AD74342"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Pritchard uses this aspect of the view to explain several features of hinge commitments. On this proposal, for example, not any certainty is thereby a hinge commitment, as it needs to bear the appropriate relationship to the über hinge commitment.</w:t>
      </w:r>
      <w:r w:rsidR="00E72A1F">
        <w:rPr>
          <w:rFonts w:asciiTheme="majorBidi" w:eastAsia="Times New Roman" w:hAnsiTheme="majorBidi" w:cstheme="majorBidi"/>
          <w:color w:val="000000"/>
          <w:sz w:val="24"/>
          <w:szCs w:val="24"/>
          <w:lang w:eastAsia="it-IT"/>
        </w:rPr>
        <w:t xml:space="preserve"> This is the sense in which Pritchard’s account of hinge commitments is a restrict</w:t>
      </w:r>
      <w:r w:rsidR="00C355D8">
        <w:rPr>
          <w:rFonts w:asciiTheme="majorBidi" w:eastAsia="Times New Roman" w:hAnsiTheme="majorBidi" w:cstheme="majorBidi"/>
          <w:color w:val="000000"/>
          <w:sz w:val="24"/>
          <w:szCs w:val="24"/>
          <w:lang w:eastAsia="it-IT"/>
        </w:rPr>
        <w:t>ive</w:t>
      </w:r>
      <w:r w:rsidR="00E72A1F">
        <w:rPr>
          <w:rFonts w:asciiTheme="majorBidi" w:eastAsia="Times New Roman" w:hAnsiTheme="majorBidi" w:cstheme="majorBidi"/>
          <w:color w:val="000000"/>
          <w:sz w:val="24"/>
          <w:szCs w:val="24"/>
          <w:lang w:eastAsia="it-IT"/>
        </w:rPr>
        <w:t xml:space="preserve"> reading, in that it offers a more restricted conception of hinge commitments when compared with other accounts in the literature.</w:t>
      </w:r>
      <w:r w:rsidRPr="00F64509">
        <w:rPr>
          <w:rStyle w:val="FootnoteReference"/>
          <w:rFonts w:asciiTheme="majorBidi" w:eastAsia="Times New Roman" w:hAnsiTheme="majorBidi" w:cstheme="majorBidi"/>
          <w:color w:val="000000"/>
          <w:sz w:val="24"/>
          <w:szCs w:val="24"/>
          <w:lang w:eastAsia="it-IT"/>
        </w:rPr>
        <w:footnoteReference w:id="11"/>
      </w:r>
      <w:r w:rsidRPr="00F64509">
        <w:rPr>
          <w:rFonts w:asciiTheme="majorBidi" w:eastAsia="Times New Roman" w:hAnsiTheme="majorBidi" w:cstheme="majorBidi"/>
          <w:color w:val="000000"/>
          <w:sz w:val="24"/>
          <w:szCs w:val="24"/>
          <w:lang w:eastAsia="it-IT"/>
        </w:rPr>
        <w:t xml:space="preserve"> </w:t>
      </w:r>
      <w:r w:rsidR="00E72A1F">
        <w:rPr>
          <w:rFonts w:asciiTheme="majorBidi" w:eastAsia="Times New Roman" w:hAnsiTheme="majorBidi" w:cstheme="majorBidi"/>
          <w:color w:val="000000"/>
          <w:sz w:val="24"/>
          <w:szCs w:val="24"/>
          <w:lang w:eastAsia="it-IT"/>
        </w:rPr>
        <w:t>Pritchard’s</w:t>
      </w:r>
      <w:r w:rsidRPr="00F64509">
        <w:rPr>
          <w:rFonts w:asciiTheme="majorBidi" w:eastAsia="Times New Roman" w:hAnsiTheme="majorBidi" w:cstheme="majorBidi"/>
          <w:color w:val="000000"/>
          <w:sz w:val="24"/>
          <w:szCs w:val="24"/>
          <w:lang w:eastAsia="it-IT"/>
        </w:rPr>
        <w:t xml:space="preserve"> account can also explain why there is such an overlap in our hinge commitments, despite their surface differences, given that we all share the same über hinge commitment and many of the same K-apt beliefs too. Moreover, the account also explains how our hinge commitments to specific propositions can be indirectly responsive to rational considerations even if they are not directly responsive. For example, it is because of the change in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K-apt beliefs (where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K-apt beliefs are reasons-responsive in the usual way) that one loses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hinge commitment to having two hands when one is in abnormal conditions. Similarly, if there is sufficient change in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circumstances, then over time what was a hinge commitment might become an ordinary K-apt belief as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set of K-apt beliefs changes in rational response to these changes in circumstances.</w:t>
      </w:r>
    </w:p>
    <w:p w14:paraId="107CE683" w14:textId="54B51F3E"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lastRenderedPageBreak/>
        <w:t>This last point is important to the issue of epistemic relativism. Many commentators have argued that hinge epistemology invites a troubling form of epistemic relativism by making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systems of rational evaluation hinge-relative. Pritchard maintains, however, that epistemic relativism is only concerning if it leads to </w:t>
      </w:r>
      <w:r w:rsidRPr="00F64509">
        <w:rPr>
          <w:rFonts w:asciiTheme="majorBidi" w:eastAsia="Times New Roman" w:hAnsiTheme="majorBidi" w:cstheme="majorBidi"/>
          <w:i/>
          <w:iCs/>
          <w:color w:val="000000"/>
          <w:sz w:val="24"/>
          <w:szCs w:val="24"/>
          <w:lang w:eastAsia="it-IT"/>
        </w:rPr>
        <w:t>epistemic incommensurability</w:t>
      </w:r>
      <w:r w:rsidRPr="00F64509">
        <w:rPr>
          <w:rFonts w:asciiTheme="majorBidi" w:eastAsia="Times New Roman" w:hAnsiTheme="majorBidi" w:cstheme="majorBidi"/>
          <w:color w:val="000000"/>
          <w:sz w:val="24"/>
          <w:szCs w:val="24"/>
          <w:lang w:eastAsia="it-IT"/>
        </w:rPr>
        <w:t>, whereby two epistemic systems are unable even in principle to rationally engage with one another. Pritchard argues, however, that it is unlikely that the hinge framework would lead to epistemic relativism of this kind. This is because of the shared nature of our hinge commitments on this view, which ensures that even epistemic systems that are technically distinct (in virtue of having distinct hinge commitments) are nonetheless such that there is a great deal of overlap in hinge commitments, of a kind that can prevent the epistemic systems from being epistemically incommensurable.</w:t>
      </w:r>
      <w:r w:rsidRPr="00F64509">
        <w:rPr>
          <w:rStyle w:val="FootnoteReference"/>
          <w:rFonts w:asciiTheme="majorBidi" w:eastAsia="Times New Roman" w:hAnsiTheme="majorBidi" w:cstheme="majorBidi"/>
          <w:color w:val="000000"/>
          <w:sz w:val="24"/>
          <w:szCs w:val="24"/>
          <w:lang w:eastAsia="it-IT"/>
        </w:rPr>
        <w:footnoteReference w:id="12"/>
      </w:r>
    </w:p>
    <w:p w14:paraId="22A3E192" w14:textId="437C66D7"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Note too that on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proposal our hinge commitments to specific proposition are essentially quotidian and concrete in nature, as only everyday commitments of this kind would manifest the animal certainty that is embodied in the über hinge commitment. In particular, Pritchard rejects the idea made by other commentators (such as Coliva) that our hinge commitments can include theoretical/philosophical claims like </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there is an external world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 or general principles like </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testimony is mostly reliable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 or </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the future resembles the past</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Insofar as these claims are to be understand as contentful at all, Pritchard argues that they are not hinge commitments.</w:t>
      </w:r>
      <w:r w:rsidRPr="00F64509">
        <w:rPr>
          <w:rStyle w:val="FootnoteReference"/>
          <w:rFonts w:asciiTheme="majorBidi" w:eastAsia="Times New Roman" w:hAnsiTheme="majorBidi" w:cstheme="majorBidi"/>
          <w:color w:val="000000"/>
          <w:sz w:val="24"/>
          <w:szCs w:val="24"/>
          <w:lang w:eastAsia="it-IT"/>
        </w:rPr>
        <w:footnoteReference w:id="13"/>
      </w:r>
    </w:p>
    <w:p w14:paraId="04115770" w14:textId="164778A9"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lastRenderedPageBreak/>
        <w:t>Pritchard uses his account of hinge commitments to motivate a response to closure-based radical scepticism. He argues that the point of Wittgenstein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proposal is not to highlight a cognitive limitation on our parts (as some commentators have argued), but rather to highlight the faulty philosophical picture that we are working with. This is a conception of the structure of rational evaluation that allows for universal rational evaluations. Pritchard takes Wittgenstein to be arguing that the very idea of universal rational evaluations is incoherent because of the necessity of hinge commitments to any system of rational evaluation. That is, it is not a mere incidental fact about our rational practices that they involve hinge commitments, as if this is an assumption that we can discharge, but is rather in the very nature of what a rational practice involves. If that</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right, then while the arational nature of our hinge commitments entails that they are not known, it is not as if we are ignorant of these propositions, as they are simply not in the market for knowledge.</w:t>
      </w:r>
      <w:r w:rsidRPr="00F64509">
        <w:rPr>
          <w:rStyle w:val="FootnoteReference"/>
          <w:rFonts w:asciiTheme="majorBidi" w:eastAsia="Times New Roman" w:hAnsiTheme="majorBidi" w:cstheme="majorBidi"/>
          <w:color w:val="000000"/>
          <w:sz w:val="24"/>
          <w:szCs w:val="24"/>
          <w:lang w:eastAsia="it-IT"/>
        </w:rPr>
        <w:footnoteReference w:id="14"/>
      </w:r>
    </w:p>
    <w:p w14:paraId="28541C69" w14:textId="4EECB6FF"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If this is right, then both the radical sceptic and the traditional anti-sceptic are making a fundamental mistake in attempting to undertake universal rational evaluations (whether to undermine our epistemic practices, in the case of radical scepticism, or to legitimate them, in the case of traditional anti-scepticism). Instead, it is in the very nature of what it is for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K-apt beliefs to enjoy rational support that this rational support is essentially local in nature. There thus cannot be anything amiss with our everyday K-apt beliefs in virtue of them only enjoying local rational support.</w:t>
      </w:r>
    </w:p>
    <w:p w14:paraId="3DD2AEE1" w14:textId="6A35390A"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This relates to closure-based formulations of radical scepticism because the relevant closure-style reasoning involves, in effect, undertaking a wholesale rational evaluation of our beliefs (e.g., by drawing inferences to the denials of radical sceptical hypotheses). Note, however, that </w:t>
      </w:r>
      <w:r w:rsidRPr="00F64509">
        <w:rPr>
          <w:rFonts w:asciiTheme="majorBidi" w:eastAsia="Times New Roman" w:hAnsiTheme="majorBidi" w:cstheme="majorBidi"/>
          <w:color w:val="000000"/>
          <w:sz w:val="24"/>
          <w:szCs w:val="24"/>
          <w:lang w:eastAsia="it-IT"/>
        </w:rPr>
        <w:lastRenderedPageBreak/>
        <w:t>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proposal is not that the closure principle should be rejected. Instead, he points out that closure, properly understood anyway, is harmless in this regard, as it is essentially a synchronic principle that involves the formation of a K-apt belief on the basis of a competent deduction. Crucially, however, on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view one cannot have a K-apt belief in a proposition that one is hinge committed to, much less acquire such a K-apt belief via a paradigmatic rational process like competent deduction. The closure-based formulation of the radical sceptical argument is thus neutralized, as the radical sceptic cannot derive their sceptical conclusion.</w:t>
      </w:r>
      <w:r w:rsidRPr="00F64509">
        <w:rPr>
          <w:rStyle w:val="FootnoteReference"/>
          <w:rFonts w:asciiTheme="majorBidi" w:eastAsia="Times New Roman" w:hAnsiTheme="majorBidi" w:cstheme="majorBidi"/>
          <w:color w:val="000000"/>
          <w:sz w:val="24"/>
          <w:szCs w:val="24"/>
          <w:lang w:eastAsia="it-IT"/>
        </w:rPr>
        <w:footnoteReference w:id="15"/>
      </w:r>
    </w:p>
    <w:p w14:paraId="568BB332" w14:textId="16DA1DC3" w:rsidR="00CF75C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A final element of Pritchard</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hinge account that deserves note is his notion of </w:t>
      </w:r>
      <w:r w:rsidRPr="00F64509">
        <w:rPr>
          <w:rFonts w:asciiTheme="majorBidi" w:eastAsia="Times New Roman" w:hAnsiTheme="majorBidi" w:cstheme="majorBidi"/>
          <w:i/>
          <w:iCs/>
          <w:color w:val="000000"/>
          <w:sz w:val="24"/>
          <w:szCs w:val="24"/>
          <w:lang w:eastAsia="it-IT"/>
        </w:rPr>
        <w:t>epistemic vertigo</w:t>
      </w:r>
      <w:r w:rsidRPr="00F64509">
        <w:rPr>
          <w:rFonts w:asciiTheme="majorBidi" w:eastAsia="Times New Roman" w:hAnsiTheme="majorBidi" w:cstheme="majorBidi"/>
          <w:color w:val="000000"/>
          <w:sz w:val="24"/>
          <w:szCs w:val="24"/>
          <w:lang w:eastAsia="it-IT"/>
        </w:rPr>
        <w:t>. Pri</w:t>
      </w:r>
      <w:r w:rsidR="00FA01AD" w:rsidRPr="00F64509">
        <w:rPr>
          <w:rFonts w:asciiTheme="majorBidi" w:eastAsia="Times New Roman" w:hAnsiTheme="majorBidi" w:cstheme="majorBidi"/>
          <w:color w:val="000000"/>
          <w:sz w:val="24"/>
          <w:szCs w:val="24"/>
          <w:lang w:eastAsia="it-IT"/>
        </w:rPr>
        <w:t>t</w:t>
      </w:r>
      <w:r w:rsidRPr="00F64509">
        <w:rPr>
          <w:rFonts w:asciiTheme="majorBidi" w:eastAsia="Times New Roman" w:hAnsiTheme="majorBidi" w:cstheme="majorBidi"/>
          <w:color w:val="000000"/>
          <w:sz w:val="24"/>
          <w:szCs w:val="24"/>
          <w:lang w:eastAsia="it-IT"/>
        </w:rPr>
        <w:t xml:space="preserve">chard argues that this is a natural feature of our engagement with radical scepticism, even once we are in possession of the Wittgensteinian solution to (closure-based) radical scepticism. The idea is that while our ordinary practices involve essentially local rational evaluations, there is nothing in those practices that indicates that there cannot be universal rational evaluations. Relatedly, we are not ordinarily aware of our hinge commitments </w:t>
      </w:r>
      <w:r w:rsidRPr="00F64509">
        <w:rPr>
          <w:rFonts w:asciiTheme="majorBidi" w:eastAsia="Times New Roman" w:hAnsiTheme="majorBidi" w:cstheme="majorBidi"/>
          <w:i/>
          <w:iCs/>
          <w:color w:val="000000"/>
          <w:sz w:val="24"/>
          <w:szCs w:val="24"/>
          <w:lang w:eastAsia="it-IT"/>
        </w:rPr>
        <w:t>qua</w:t>
      </w:r>
      <w:r w:rsidRPr="00F64509">
        <w:rPr>
          <w:rFonts w:asciiTheme="majorBidi" w:eastAsia="Times New Roman" w:hAnsiTheme="majorBidi" w:cstheme="majorBidi"/>
          <w:color w:val="000000"/>
          <w:sz w:val="24"/>
          <w:szCs w:val="24"/>
          <w:lang w:eastAsia="it-IT"/>
        </w:rPr>
        <w:t xml:space="preserve"> hinge commitments. They are instead hidden from us, albeit in plain view, as they “lie apart from the route travelled by inquiry.” (OC, §88) This is why the recognition that our most everyday commitments play this special hinge role is surprising, and can also be intellectually disturbing. That which is most everyday is, it turns, not mundane at all but uncanny.</w:t>
      </w:r>
      <w:r w:rsidRPr="00F64509">
        <w:rPr>
          <w:rStyle w:val="FootnoteReference"/>
          <w:rFonts w:asciiTheme="majorBidi" w:eastAsia="Times New Roman" w:hAnsiTheme="majorBidi" w:cstheme="majorBidi"/>
          <w:color w:val="000000"/>
          <w:sz w:val="24"/>
          <w:szCs w:val="24"/>
          <w:lang w:eastAsia="it-IT"/>
        </w:rPr>
        <w:footnoteReference w:id="16"/>
      </w:r>
    </w:p>
    <w:p w14:paraId="3F58ACBA" w14:textId="46785E7E" w:rsidR="00E92AA8" w:rsidRPr="00F64509" w:rsidRDefault="00CF75C8"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Pritchard connects this point to Wittgensteinian quietism. The goal of such quietism is not to return us to back to a state of philosophical innocence prior to engaging in the faulty </w:t>
      </w:r>
      <w:r w:rsidRPr="00F64509">
        <w:rPr>
          <w:rFonts w:asciiTheme="majorBidi" w:eastAsia="Times New Roman" w:hAnsiTheme="majorBidi" w:cstheme="majorBidi"/>
          <w:color w:val="000000"/>
          <w:sz w:val="24"/>
          <w:szCs w:val="24"/>
          <w:lang w:eastAsia="it-IT"/>
        </w:rPr>
        <w:lastRenderedPageBreak/>
        <w:t>philosophical reasoning that generated our intellectual difficulties (such as radical scepticism, in this case). There is in fact no return to such a pre-philosophical state—we cannot unlearn that our most everyday commitments are arational hinge commitments. A degree of estrangement from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everyday practices is thus inevitable. Nonetheless, one can acquire a philosophical understanding of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situation, and thereby come to recognize that the putative philosophical challenge to one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ordinary ways of thinking is based on a dubious theoretical picture, masquerading as common sense, and which can thus be rejected. This is what happens in the sceptical case. We discover that there was nothing amiss with our ordinary practices of rational evaluation. But in discovering this we inevitably occupy a perspective that is partially removed from these practices, and which generates a kind of alienation from them, since we now recognize surprising features of them that are ordinarily hidden from us. Still, we can come to see that the sceptical challenge is illegitimate, and hence that there is nothing amiss with the localized rational support enjoyed by our everyday beliefs. Just as someone high up can respond in a phobic way to their situation even while recognizing that they are not in any danger, so someone disengaged from their ordinary rational practices in this way, and hence able to observe surprising and </w:t>
      </w:r>
      <w:r w:rsidRPr="00F64509">
        <w:rPr>
          <w:rFonts w:asciiTheme="majorBidi" w:eastAsia="Times New Roman" w:hAnsiTheme="majorBidi" w:cstheme="majorBidi"/>
          <w:i/>
          <w:iCs/>
          <w:color w:val="000000"/>
          <w:sz w:val="24"/>
          <w:szCs w:val="24"/>
          <w:lang w:eastAsia="it-IT"/>
        </w:rPr>
        <w:t>prima facie</w:t>
      </w:r>
      <w:r w:rsidRPr="00F64509">
        <w:rPr>
          <w:rFonts w:asciiTheme="majorBidi" w:eastAsia="Times New Roman" w:hAnsiTheme="majorBidi" w:cstheme="majorBidi"/>
          <w:color w:val="000000"/>
          <w:sz w:val="24"/>
          <w:szCs w:val="24"/>
          <w:lang w:eastAsia="it-IT"/>
        </w:rPr>
        <w:t xml:space="preserve"> disquieting features of those practices, can recognize that the sceptical challenge is illegitimate.</w:t>
      </w:r>
      <w:r w:rsidRPr="00F64509">
        <w:rPr>
          <w:rStyle w:val="FootnoteReference"/>
          <w:rFonts w:asciiTheme="majorBidi" w:eastAsia="Times New Roman" w:hAnsiTheme="majorBidi" w:cstheme="majorBidi"/>
          <w:color w:val="000000"/>
          <w:sz w:val="24"/>
          <w:szCs w:val="24"/>
          <w:lang w:eastAsia="it-IT"/>
        </w:rPr>
        <w:footnoteReference w:id="17"/>
      </w:r>
      <w:r w:rsidR="00E92AA8" w:rsidRPr="00F64509">
        <w:rPr>
          <w:rFonts w:asciiTheme="majorBidi" w:eastAsia="Times New Roman" w:hAnsiTheme="majorBidi" w:cstheme="majorBidi"/>
          <w:sz w:val="24"/>
          <w:szCs w:val="24"/>
          <w:lang w:val="en-GB" w:eastAsia="en-GB"/>
        </w:rPr>
        <w:tab/>
      </w:r>
    </w:p>
    <w:p w14:paraId="31F33BD8" w14:textId="77777777" w:rsidR="00932719" w:rsidRPr="00F64509" w:rsidRDefault="00932719" w:rsidP="00F64509">
      <w:pPr>
        <w:spacing w:line="480" w:lineRule="auto"/>
        <w:jc w:val="both"/>
        <w:rPr>
          <w:rFonts w:asciiTheme="majorBidi" w:eastAsia="Times New Roman" w:hAnsiTheme="majorBidi" w:cstheme="majorBidi"/>
          <w:b/>
          <w:color w:val="000000"/>
          <w:sz w:val="24"/>
          <w:szCs w:val="24"/>
          <w:lang w:eastAsia="it-IT"/>
        </w:rPr>
      </w:pPr>
    </w:p>
    <w:p w14:paraId="2734B23B" w14:textId="6D0E5232" w:rsidR="004C7C7D" w:rsidRPr="00F64509" w:rsidRDefault="004C7C7D" w:rsidP="00F64509">
      <w:pPr>
        <w:pStyle w:val="ListParagraph"/>
        <w:numPr>
          <w:ilvl w:val="0"/>
          <w:numId w:val="2"/>
        </w:numPr>
        <w:spacing w:line="480" w:lineRule="auto"/>
        <w:contextualSpacing w:val="0"/>
        <w:jc w:val="both"/>
        <w:rPr>
          <w:rFonts w:asciiTheme="majorBidi" w:hAnsiTheme="majorBidi" w:cstheme="majorBidi"/>
          <w:b/>
          <w:sz w:val="24"/>
          <w:szCs w:val="24"/>
        </w:rPr>
      </w:pPr>
      <w:r w:rsidRPr="00F64509">
        <w:rPr>
          <w:rFonts w:asciiTheme="majorBidi" w:eastAsia="Times New Roman" w:hAnsiTheme="majorBidi" w:cstheme="majorBidi"/>
          <w:b/>
          <w:color w:val="000000"/>
          <w:sz w:val="24"/>
          <w:szCs w:val="24"/>
          <w:lang w:eastAsia="it-IT"/>
        </w:rPr>
        <w:t>Coliva</w:t>
      </w:r>
      <w:r w:rsidR="00B53A7E" w:rsidRPr="00F64509">
        <w:rPr>
          <w:rFonts w:asciiTheme="majorBidi" w:eastAsia="Times New Roman" w:hAnsiTheme="majorBidi" w:cstheme="majorBidi"/>
          <w:b/>
          <w:color w:val="000000"/>
          <w:sz w:val="24"/>
          <w:szCs w:val="24"/>
          <w:lang w:eastAsia="it-IT"/>
        </w:rPr>
        <w:t>’</w:t>
      </w:r>
      <w:r w:rsidRPr="00F64509">
        <w:rPr>
          <w:rFonts w:asciiTheme="majorBidi" w:eastAsia="Times New Roman" w:hAnsiTheme="majorBidi" w:cstheme="majorBidi"/>
          <w:b/>
          <w:color w:val="000000"/>
          <w:sz w:val="24"/>
          <w:szCs w:val="24"/>
          <w:lang w:eastAsia="it-IT"/>
        </w:rPr>
        <w:t xml:space="preserve">s </w:t>
      </w:r>
      <w:bookmarkStart w:id="10" w:name="_Hlk209577203"/>
      <w:r w:rsidRPr="00F64509">
        <w:rPr>
          <w:rFonts w:asciiTheme="majorBidi" w:eastAsia="Times New Roman" w:hAnsiTheme="majorBidi" w:cstheme="majorBidi"/>
          <w:b/>
          <w:color w:val="000000"/>
          <w:sz w:val="24"/>
          <w:szCs w:val="24"/>
          <w:lang w:eastAsia="it-IT"/>
        </w:rPr>
        <w:t>constitutivist hinge epistemology</w:t>
      </w:r>
      <w:bookmarkEnd w:id="10"/>
    </w:p>
    <w:p w14:paraId="78EE57E6" w14:textId="3599660D" w:rsidR="002A1FE8" w:rsidRPr="00F64509" w:rsidRDefault="004C7C7D" w:rsidP="00F64509">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Coliva</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version of hinge epistemology is meant to address Humean skepticism head-on. </w:t>
      </w:r>
      <w:r w:rsidR="002A1FE8" w:rsidRPr="00F64509">
        <w:rPr>
          <w:rFonts w:asciiTheme="majorBidi" w:eastAsia="Times New Roman" w:hAnsiTheme="majorBidi" w:cstheme="majorBidi"/>
          <w:color w:val="000000"/>
          <w:sz w:val="24"/>
          <w:szCs w:val="24"/>
          <w:lang w:eastAsia="it-IT"/>
        </w:rPr>
        <w:t xml:space="preserve">Unlike Cartesian skepticism, Humean skepticism does not depend on envisaging far-fetched scenarios, involving BIVs, demons, or lucid and sustained dreams. Rather, it depends </w:t>
      </w:r>
      <w:r w:rsidR="003225C4" w:rsidRPr="00F64509">
        <w:rPr>
          <w:rFonts w:asciiTheme="majorBidi" w:eastAsia="Times New Roman" w:hAnsiTheme="majorBidi" w:cstheme="majorBidi"/>
          <w:color w:val="000000"/>
          <w:sz w:val="24"/>
          <w:szCs w:val="24"/>
          <w:lang w:eastAsia="it-IT"/>
        </w:rPr>
        <w:t>on</w:t>
      </w:r>
      <w:r w:rsidR="002A1FE8" w:rsidRPr="00F64509">
        <w:rPr>
          <w:rFonts w:asciiTheme="majorBidi" w:eastAsia="Times New Roman" w:hAnsiTheme="majorBidi" w:cstheme="majorBidi"/>
          <w:color w:val="000000"/>
          <w:sz w:val="24"/>
          <w:szCs w:val="24"/>
          <w:lang w:eastAsia="it-IT"/>
        </w:rPr>
        <w:t xml:space="preserve"> </w:t>
      </w:r>
      <w:r w:rsidR="002A1FE8" w:rsidRPr="00F64509">
        <w:rPr>
          <w:rFonts w:asciiTheme="majorBidi" w:eastAsia="Times New Roman" w:hAnsiTheme="majorBidi" w:cstheme="majorBidi"/>
          <w:color w:val="000000"/>
          <w:sz w:val="24"/>
          <w:szCs w:val="24"/>
          <w:lang w:eastAsia="it-IT"/>
        </w:rPr>
        <w:lastRenderedPageBreak/>
        <w:t xml:space="preserve">adhering to a certain conception of perceptual justification, such that it is not simply by </w:t>
      </w:r>
      <w:r w:rsidR="009F5281" w:rsidRPr="00F64509">
        <w:rPr>
          <w:rFonts w:asciiTheme="majorBidi" w:eastAsia="Times New Roman" w:hAnsiTheme="majorBidi" w:cstheme="majorBidi"/>
          <w:color w:val="000000"/>
          <w:sz w:val="24"/>
          <w:szCs w:val="24"/>
          <w:lang w:eastAsia="it-IT"/>
        </w:rPr>
        <w:t>having a certain course of experience that one has a justification to believe that P (where P is a proposition about specific physical objects in one</w:t>
      </w:r>
      <w:r w:rsidR="00B53A7E" w:rsidRPr="00F64509">
        <w:rPr>
          <w:rFonts w:asciiTheme="majorBidi" w:eastAsia="Times New Roman" w:hAnsiTheme="majorBidi" w:cstheme="majorBidi"/>
          <w:color w:val="000000"/>
          <w:sz w:val="24"/>
          <w:szCs w:val="24"/>
          <w:lang w:eastAsia="it-IT"/>
        </w:rPr>
        <w:t>’</w:t>
      </w:r>
      <w:r w:rsidR="009F5281" w:rsidRPr="00F64509">
        <w:rPr>
          <w:rFonts w:asciiTheme="majorBidi" w:eastAsia="Times New Roman" w:hAnsiTheme="majorBidi" w:cstheme="majorBidi"/>
          <w:color w:val="000000"/>
          <w:sz w:val="24"/>
          <w:szCs w:val="24"/>
          <w:lang w:eastAsia="it-IT"/>
        </w:rPr>
        <w:t>s surroundings). Rather, it must also be taken for granted that there is an external world,</w:t>
      </w:r>
      <w:r w:rsidR="009F5281" w:rsidRPr="00F64509">
        <w:rPr>
          <w:rStyle w:val="FootnoteReference"/>
          <w:rFonts w:asciiTheme="majorBidi" w:eastAsia="Times New Roman" w:hAnsiTheme="majorBidi" w:cstheme="majorBidi"/>
          <w:color w:val="000000"/>
          <w:sz w:val="24"/>
          <w:szCs w:val="24"/>
          <w:lang w:eastAsia="it-IT"/>
        </w:rPr>
        <w:footnoteReference w:id="18"/>
      </w:r>
      <w:r w:rsidR="009F5281" w:rsidRPr="00F64509">
        <w:rPr>
          <w:rFonts w:asciiTheme="majorBidi" w:eastAsia="Times New Roman" w:hAnsiTheme="majorBidi" w:cstheme="majorBidi"/>
          <w:color w:val="000000"/>
          <w:sz w:val="24"/>
          <w:szCs w:val="24"/>
          <w:lang w:eastAsia="it-IT"/>
        </w:rPr>
        <w:t xml:space="preserve"> which is responsible for the experiences one is having. Humean skepticism, however, challenges the rationality of this assumption by pointing out how it cannot itself be justified through experience – as this would be circular – or by means of a priori reasoning.</w:t>
      </w:r>
      <w:r w:rsidR="009F5281" w:rsidRPr="00F64509">
        <w:rPr>
          <w:rStyle w:val="FootnoteReference"/>
          <w:rFonts w:asciiTheme="majorBidi" w:eastAsia="Times New Roman" w:hAnsiTheme="majorBidi" w:cstheme="majorBidi"/>
          <w:color w:val="000000"/>
          <w:sz w:val="24"/>
          <w:szCs w:val="24"/>
          <w:lang w:eastAsia="it-IT"/>
        </w:rPr>
        <w:footnoteReference w:id="19"/>
      </w:r>
      <w:r w:rsidR="009F5281" w:rsidRPr="00F64509">
        <w:rPr>
          <w:rFonts w:asciiTheme="majorBidi" w:eastAsia="Times New Roman" w:hAnsiTheme="majorBidi" w:cstheme="majorBidi"/>
          <w:color w:val="000000"/>
          <w:sz w:val="24"/>
          <w:szCs w:val="24"/>
          <w:lang w:eastAsia="it-IT"/>
        </w:rPr>
        <w:t xml:space="preserve"> If so, a Humean skeptic concludes, it is not epistemically rational and is as arbitrary – epistemically speaking – as it may be psychologically compelling for creatures like us.</w:t>
      </w:r>
    </w:p>
    <w:p w14:paraId="2BA65056" w14:textId="09829805" w:rsidR="004C7C7D" w:rsidRPr="00F64509" w:rsidRDefault="004C7C7D"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To </w:t>
      </w:r>
      <w:r w:rsidR="009F5281" w:rsidRPr="00F64509">
        <w:rPr>
          <w:rFonts w:asciiTheme="majorBidi" w:eastAsia="Times New Roman" w:hAnsiTheme="majorBidi" w:cstheme="majorBidi"/>
          <w:color w:val="000000"/>
          <w:sz w:val="24"/>
          <w:szCs w:val="24"/>
          <w:lang w:eastAsia="it-IT"/>
        </w:rPr>
        <w:t>meet the Humean challenge</w:t>
      </w:r>
      <w:r w:rsidRPr="00F64509">
        <w:rPr>
          <w:rFonts w:asciiTheme="majorBidi" w:eastAsia="Times New Roman" w:hAnsiTheme="majorBidi" w:cstheme="majorBidi"/>
          <w:color w:val="000000"/>
          <w:sz w:val="24"/>
          <w:szCs w:val="24"/>
          <w:lang w:eastAsia="it-IT"/>
        </w:rPr>
        <w:t xml:space="preserve">, </w:t>
      </w:r>
      <w:r w:rsidR="00EF6325" w:rsidRPr="00F64509">
        <w:rPr>
          <w:rFonts w:asciiTheme="majorBidi" w:eastAsia="Times New Roman" w:hAnsiTheme="majorBidi" w:cstheme="majorBidi"/>
          <w:color w:val="000000"/>
          <w:sz w:val="24"/>
          <w:szCs w:val="24"/>
          <w:lang w:eastAsia="it-IT"/>
        </w:rPr>
        <w:t>Coliva</w:t>
      </w:r>
      <w:r w:rsidRPr="00F64509">
        <w:rPr>
          <w:rFonts w:asciiTheme="majorBidi" w:eastAsia="Times New Roman" w:hAnsiTheme="majorBidi" w:cstheme="majorBidi"/>
          <w:color w:val="000000"/>
          <w:sz w:val="24"/>
          <w:szCs w:val="24"/>
          <w:lang w:eastAsia="it-IT"/>
        </w:rPr>
        <w:t xml:space="preserve"> depart</w:t>
      </w:r>
      <w:r w:rsidR="00EF6325" w:rsidRPr="00F64509">
        <w:rPr>
          <w:rFonts w:asciiTheme="majorBidi" w:eastAsia="Times New Roman" w:hAnsiTheme="majorBidi" w:cstheme="majorBidi"/>
          <w:color w:val="000000"/>
          <w:sz w:val="24"/>
          <w:szCs w:val="24"/>
          <w:lang w:eastAsia="it-IT"/>
        </w:rPr>
        <w:t>s</w:t>
      </w:r>
      <w:r w:rsidRPr="00F64509">
        <w:rPr>
          <w:rFonts w:asciiTheme="majorBidi" w:eastAsia="Times New Roman" w:hAnsiTheme="majorBidi" w:cstheme="majorBidi"/>
          <w:color w:val="000000"/>
          <w:sz w:val="24"/>
          <w:szCs w:val="24"/>
          <w:lang w:eastAsia="it-IT"/>
        </w:rPr>
        <w:t xml:space="preserve"> considerably from Wittgenstein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w:t>
      </w:r>
      <w:r w:rsidRPr="00F64509">
        <w:rPr>
          <w:rFonts w:asciiTheme="majorBidi" w:eastAsia="Times New Roman" w:hAnsiTheme="majorBidi" w:cstheme="majorBidi"/>
          <w:i/>
          <w:iCs/>
          <w:color w:val="000000"/>
          <w:sz w:val="24"/>
          <w:szCs w:val="24"/>
          <w:lang w:eastAsia="it-IT"/>
        </w:rPr>
        <w:t>O</w:t>
      </w:r>
      <w:r w:rsidR="00EF6325" w:rsidRPr="00F64509">
        <w:rPr>
          <w:rFonts w:asciiTheme="majorBidi" w:eastAsia="Times New Roman" w:hAnsiTheme="majorBidi" w:cstheme="majorBidi"/>
          <w:i/>
          <w:iCs/>
          <w:color w:val="000000"/>
          <w:sz w:val="24"/>
          <w:szCs w:val="24"/>
          <w:lang w:eastAsia="it-IT"/>
        </w:rPr>
        <w:t xml:space="preserve">n </w:t>
      </w:r>
      <w:r w:rsidRPr="00F64509">
        <w:rPr>
          <w:rFonts w:asciiTheme="majorBidi" w:eastAsia="Times New Roman" w:hAnsiTheme="majorBidi" w:cstheme="majorBidi"/>
          <w:i/>
          <w:iCs/>
          <w:color w:val="000000"/>
          <w:sz w:val="24"/>
          <w:szCs w:val="24"/>
          <w:lang w:eastAsia="it-IT"/>
        </w:rPr>
        <w:t>C</w:t>
      </w:r>
      <w:r w:rsidR="00EF6325" w:rsidRPr="00F64509">
        <w:rPr>
          <w:rFonts w:asciiTheme="majorBidi" w:eastAsia="Times New Roman" w:hAnsiTheme="majorBidi" w:cstheme="majorBidi"/>
          <w:i/>
          <w:iCs/>
          <w:color w:val="000000"/>
          <w:sz w:val="24"/>
          <w:szCs w:val="24"/>
          <w:lang w:eastAsia="it-IT"/>
        </w:rPr>
        <w:t>ertainty</w:t>
      </w:r>
      <w:r w:rsidRPr="00F64509">
        <w:rPr>
          <w:rFonts w:asciiTheme="majorBidi" w:eastAsia="Times New Roman" w:hAnsiTheme="majorBidi" w:cstheme="majorBidi"/>
          <w:color w:val="000000"/>
          <w:sz w:val="24"/>
          <w:szCs w:val="24"/>
          <w:lang w:eastAsia="it-IT"/>
        </w:rPr>
        <w:t>, by restricting hinges to those “heavy-weight” assumptions,</w:t>
      </w:r>
      <w:r w:rsidR="00EF6325" w:rsidRPr="00F64509">
        <w:rPr>
          <w:rStyle w:val="FootnoteReference"/>
          <w:rFonts w:asciiTheme="majorBidi" w:eastAsia="Times New Roman" w:hAnsiTheme="majorBidi" w:cstheme="majorBidi"/>
          <w:color w:val="000000"/>
          <w:sz w:val="24"/>
          <w:szCs w:val="24"/>
          <w:lang w:eastAsia="it-IT"/>
        </w:rPr>
        <w:footnoteReference w:id="20"/>
      </w:r>
      <w:r w:rsidRPr="00F64509">
        <w:rPr>
          <w:rFonts w:asciiTheme="majorBidi" w:eastAsia="Times New Roman" w:hAnsiTheme="majorBidi" w:cstheme="majorBidi"/>
          <w:color w:val="000000"/>
          <w:sz w:val="24"/>
          <w:szCs w:val="24"/>
          <w:lang w:eastAsia="it-IT"/>
        </w:rPr>
        <w:t xml:space="preserve"> which make the acquisition of justification—in particular, of perceptual justification—possible. That rules out many of Wittgenstein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own hinges, like “Here is my hand”, “My name is N.N.” and many more. </w:t>
      </w:r>
      <w:r w:rsidR="00EF6325" w:rsidRPr="00F64509">
        <w:rPr>
          <w:rFonts w:asciiTheme="majorBidi" w:eastAsia="Times New Roman" w:hAnsiTheme="majorBidi" w:cstheme="majorBidi"/>
          <w:color w:val="000000"/>
          <w:sz w:val="24"/>
          <w:szCs w:val="24"/>
          <w:lang w:eastAsia="it-IT"/>
        </w:rPr>
        <w:t>According to Coliva, t</w:t>
      </w:r>
      <w:r w:rsidRPr="00F64509">
        <w:rPr>
          <w:rFonts w:asciiTheme="majorBidi" w:eastAsia="Times New Roman" w:hAnsiTheme="majorBidi" w:cstheme="majorBidi"/>
          <w:color w:val="000000"/>
          <w:sz w:val="24"/>
          <w:szCs w:val="24"/>
          <w:lang w:eastAsia="it-IT"/>
        </w:rPr>
        <w:t xml:space="preserve">his is a price worth paying, however, because no doubt those propositions are de facto exempted from doubt and inquiry, but they need not be presupposed </w:t>
      </w:r>
      <w:r w:rsidR="00B53D40" w:rsidRPr="00F64509">
        <w:rPr>
          <w:rFonts w:asciiTheme="majorBidi" w:eastAsia="Times New Roman" w:hAnsiTheme="majorBidi" w:cstheme="majorBidi"/>
          <w:color w:val="000000"/>
          <w:sz w:val="24"/>
          <w:szCs w:val="24"/>
          <w:lang w:eastAsia="it-IT"/>
        </w:rPr>
        <w:t>to</w:t>
      </w:r>
      <w:r w:rsidRPr="00F64509">
        <w:rPr>
          <w:rFonts w:asciiTheme="majorBidi" w:eastAsia="Times New Roman" w:hAnsiTheme="majorBidi" w:cstheme="majorBidi"/>
          <w:color w:val="000000"/>
          <w:sz w:val="24"/>
          <w:szCs w:val="24"/>
          <w:lang w:eastAsia="it-IT"/>
        </w:rPr>
        <w:t xml:space="preserve"> acquire justification—perceptual or otherwise—and may, conceivably, turn out to be false. Furthermore, being too liberal with respect to hinges may easily open the way to epistemic relativism—something </w:t>
      </w:r>
      <w:r w:rsidR="00EF6325" w:rsidRPr="00F64509">
        <w:rPr>
          <w:rFonts w:asciiTheme="majorBidi" w:eastAsia="Times New Roman" w:hAnsiTheme="majorBidi" w:cstheme="majorBidi"/>
          <w:color w:val="000000"/>
          <w:sz w:val="24"/>
          <w:szCs w:val="24"/>
          <w:lang w:eastAsia="it-IT"/>
        </w:rPr>
        <w:t>Coliva</w:t>
      </w:r>
      <w:r w:rsidRPr="00F64509">
        <w:rPr>
          <w:rFonts w:asciiTheme="majorBidi" w:eastAsia="Times New Roman" w:hAnsiTheme="majorBidi" w:cstheme="majorBidi"/>
          <w:color w:val="000000"/>
          <w:sz w:val="24"/>
          <w:szCs w:val="24"/>
          <w:lang w:eastAsia="it-IT"/>
        </w:rPr>
        <w:t xml:space="preserve"> would rather avoid.</w:t>
      </w:r>
      <w:r w:rsidR="00EF6325" w:rsidRPr="00F64509">
        <w:rPr>
          <w:rStyle w:val="FootnoteReference"/>
          <w:rFonts w:asciiTheme="majorBidi" w:eastAsia="Times New Roman" w:hAnsiTheme="majorBidi" w:cstheme="majorBidi"/>
          <w:color w:val="000000"/>
          <w:sz w:val="24"/>
          <w:szCs w:val="24"/>
          <w:lang w:eastAsia="it-IT"/>
        </w:rPr>
        <w:footnoteReference w:id="21"/>
      </w:r>
      <w:r w:rsidRPr="00F64509">
        <w:rPr>
          <w:rFonts w:asciiTheme="majorBidi" w:eastAsia="Times New Roman" w:hAnsiTheme="majorBidi" w:cstheme="majorBidi"/>
          <w:color w:val="000000"/>
          <w:sz w:val="24"/>
          <w:szCs w:val="24"/>
          <w:lang w:eastAsia="it-IT"/>
        </w:rPr>
        <w:t xml:space="preserve"> In addition, it </w:t>
      </w:r>
      <w:r w:rsidR="00B53D40" w:rsidRPr="00F64509">
        <w:rPr>
          <w:rFonts w:asciiTheme="majorBidi" w:eastAsia="Times New Roman" w:hAnsiTheme="majorBidi" w:cstheme="majorBidi"/>
          <w:color w:val="000000"/>
          <w:sz w:val="24"/>
          <w:szCs w:val="24"/>
          <w:lang w:eastAsia="it-IT"/>
        </w:rPr>
        <w:t>may</w:t>
      </w:r>
      <w:r w:rsidRPr="00F64509">
        <w:rPr>
          <w:rFonts w:asciiTheme="majorBidi" w:eastAsia="Times New Roman" w:hAnsiTheme="majorBidi" w:cstheme="majorBidi"/>
          <w:color w:val="000000"/>
          <w:sz w:val="24"/>
          <w:szCs w:val="24"/>
          <w:lang w:eastAsia="it-IT"/>
        </w:rPr>
        <w:t xml:space="preserve"> give rise to a </w:t>
      </w:r>
      <w:r w:rsidRPr="00F64509">
        <w:rPr>
          <w:rFonts w:asciiTheme="majorBidi" w:eastAsia="Times New Roman" w:hAnsiTheme="majorBidi" w:cstheme="majorBidi"/>
          <w:color w:val="000000"/>
          <w:sz w:val="24"/>
          <w:szCs w:val="24"/>
          <w:lang w:eastAsia="it-IT"/>
        </w:rPr>
        <w:lastRenderedPageBreak/>
        <w:t xml:space="preserve">demarcation </w:t>
      </w:r>
      <w:r w:rsidR="00EF6325" w:rsidRPr="00F64509">
        <w:rPr>
          <w:rFonts w:asciiTheme="majorBidi" w:eastAsia="Times New Roman" w:hAnsiTheme="majorBidi" w:cstheme="majorBidi"/>
          <w:color w:val="000000"/>
          <w:sz w:val="24"/>
          <w:szCs w:val="24"/>
          <w:lang w:eastAsia="it-IT"/>
        </w:rPr>
        <w:t>problem since</w:t>
      </w:r>
      <w:r w:rsidRPr="00F64509">
        <w:rPr>
          <w:rFonts w:asciiTheme="majorBidi" w:eastAsia="Times New Roman" w:hAnsiTheme="majorBidi" w:cstheme="majorBidi"/>
          <w:color w:val="000000"/>
          <w:sz w:val="24"/>
          <w:szCs w:val="24"/>
          <w:lang w:eastAsia="it-IT"/>
        </w:rPr>
        <w:t xml:space="preserve"> there would be almost no principled difference between hinges and entrenched empirical propositions or generalizations.</w:t>
      </w:r>
      <w:r w:rsidR="00EF6325" w:rsidRPr="00F64509">
        <w:rPr>
          <w:rStyle w:val="FootnoteReference"/>
          <w:rFonts w:asciiTheme="majorBidi" w:eastAsia="Times New Roman" w:hAnsiTheme="majorBidi" w:cstheme="majorBidi"/>
          <w:color w:val="000000"/>
          <w:sz w:val="24"/>
          <w:szCs w:val="24"/>
          <w:lang w:eastAsia="it-IT"/>
        </w:rPr>
        <w:footnoteReference w:id="22"/>
      </w:r>
    </w:p>
    <w:p w14:paraId="2664B0FC" w14:textId="3BAA5A6A" w:rsidR="004C7C7D" w:rsidRPr="00F64509" w:rsidRDefault="004C7C7D" w:rsidP="005C1A70">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Thus, </w:t>
      </w:r>
      <w:r w:rsidR="00EF6325" w:rsidRPr="00F64509">
        <w:rPr>
          <w:rFonts w:asciiTheme="majorBidi" w:eastAsia="Times New Roman" w:hAnsiTheme="majorBidi" w:cstheme="majorBidi"/>
          <w:color w:val="000000"/>
          <w:sz w:val="24"/>
          <w:szCs w:val="24"/>
          <w:lang w:eastAsia="it-IT"/>
        </w:rPr>
        <w:t>Coliva</w:t>
      </w:r>
      <w:r w:rsidRPr="00F64509">
        <w:rPr>
          <w:rFonts w:asciiTheme="majorBidi" w:eastAsia="Times New Roman" w:hAnsiTheme="majorBidi" w:cstheme="majorBidi"/>
          <w:color w:val="000000"/>
          <w:sz w:val="24"/>
          <w:szCs w:val="24"/>
          <w:lang w:eastAsia="it-IT"/>
        </w:rPr>
        <w:t xml:space="preserve"> focus</w:t>
      </w:r>
      <w:r w:rsidR="00EF6325" w:rsidRPr="00F64509">
        <w:rPr>
          <w:rFonts w:asciiTheme="majorBidi" w:eastAsia="Times New Roman" w:hAnsiTheme="majorBidi" w:cstheme="majorBidi"/>
          <w:color w:val="000000"/>
          <w:sz w:val="24"/>
          <w:szCs w:val="24"/>
          <w:lang w:eastAsia="it-IT"/>
        </w:rPr>
        <w:t>es</w:t>
      </w:r>
      <w:r w:rsidRPr="00F64509">
        <w:rPr>
          <w:rFonts w:asciiTheme="majorBidi" w:eastAsia="Times New Roman" w:hAnsiTheme="majorBidi" w:cstheme="majorBidi"/>
          <w:color w:val="000000"/>
          <w:sz w:val="24"/>
          <w:szCs w:val="24"/>
          <w:lang w:eastAsia="it-IT"/>
        </w:rPr>
        <w:t xml:space="preserve"> on hinges such as “There is an external world” (or “There are physical objects”), “My sense organs are mostly reliable”, “I am not a BIV”, and “I am not the victim of a lucid and sustained dream”, which are all necessary assumptions for perceptual justification and knowledge to be possible. </w:t>
      </w:r>
      <w:r w:rsidR="00EF6325" w:rsidRPr="00F64509">
        <w:rPr>
          <w:rFonts w:asciiTheme="majorBidi" w:eastAsia="Times New Roman" w:hAnsiTheme="majorBidi" w:cstheme="majorBidi"/>
          <w:color w:val="000000"/>
          <w:sz w:val="24"/>
          <w:szCs w:val="24"/>
          <w:lang w:eastAsia="it-IT"/>
        </w:rPr>
        <w:t>She then argues that</w:t>
      </w:r>
      <w:r w:rsidR="009D36CD" w:rsidRPr="00F64509">
        <w:rPr>
          <w:rFonts w:asciiTheme="majorBidi" w:eastAsia="Times New Roman" w:hAnsiTheme="majorBidi" w:cstheme="majorBidi"/>
          <w:color w:val="000000"/>
          <w:sz w:val="24"/>
          <w:szCs w:val="24"/>
          <w:lang w:eastAsia="it-IT"/>
        </w:rPr>
        <w:t xml:space="preserve"> </w:t>
      </w:r>
      <w:r w:rsidRPr="00F64509">
        <w:rPr>
          <w:rFonts w:asciiTheme="majorBidi" w:eastAsia="Times New Roman" w:hAnsiTheme="majorBidi" w:cstheme="majorBidi"/>
          <w:color w:val="000000"/>
          <w:sz w:val="24"/>
          <w:szCs w:val="24"/>
          <w:lang w:eastAsia="it-IT"/>
        </w:rPr>
        <w:t xml:space="preserve">thanks to such assumptions, we can take the content of our experiences at face value to form defeasible justifications for beliefs about objects in our surroundings. Indeed, this is the gist of the moderate account of perceptual justification defended </w:t>
      </w:r>
      <w:r w:rsidR="00EF6325" w:rsidRPr="00F64509">
        <w:rPr>
          <w:rFonts w:asciiTheme="majorBidi" w:eastAsia="Times New Roman" w:hAnsiTheme="majorBidi" w:cstheme="majorBidi"/>
          <w:color w:val="000000"/>
          <w:sz w:val="24"/>
          <w:szCs w:val="24"/>
          <w:lang w:eastAsia="it-IT"/>
        </w:rPr>
        <w:t>in</w:t>
      </w:r>
      <w:r w:rsidRPr="00F64509">
        <w:rPr>
          <w:rFonts w:asciiTheme="majorBidi" w:eastAsia="Times New Roman" w:hAnsiTheme="majorBidi" w:cstheme="majorBidi"/>
          <w:color w:val="000000"/>
          <w:sz w:val="24"/>
          <w:szCs w:val="24"/>
          <w:lang w:eastAsia="it-IT"/>
        </w:rPr>
        <w:t xml:space="preserve"> </w:t>
      </w:r>
      <w:r w:rsidR="00EF6325" w:rsidRPr="00F64509">
        <w:rPr>
          <w:rFonts w:asciiTheme="majorBidi" w:eastAsia="Times New Roman" w:hAnsiTheme="majorBidi" w:cstheme="majorBidi"/>
          <w:color w:val="000000"/>
          <w:sz w:val="24"/>
          <w:szCs w:val="24"/>
          <w:lang w:eastAsia="it-IT"/>
        </w:rPr>
        <w:t xml:space="preserve">her </w:t>
      </w:r>
      <w:r w:rsidR="00EF6325" w:rsidRPr="00F64509">
        <w:rPr>
          <w:rFonts w:asciiTheme="majorBidi" w:eastAsia="Times New Roman" w:hAnsiTheme="majorBidi" w:cstheme="majorBidi"/>
          <w:i/>
          <w:iCs/>
          <w:color w:val="000000"/>
          <w:sz w:val="24"/>
          <w:szCs w:val="24"/>
          <w:lang w:eastAsia="it-IT"/>
        </w:rPr>
        <w:t>Extended Rationality. A Hinge Epistemology</w:t>
      </w:r>
      <w:r w:rsidR="00EF6325" w:rsidRPr="00F64509">
        <w:rPr>
          <w:rFonts w:asciiTheme="majorBidi" w:eastAsia="Times New Roman" w:hAnsiTheme="majorBidi" w:cstheme="majorBidi"/>
          <w:color w:val="000000"/>
          <w:sz w:val="24"/>
          <w:szCs w:val="24"/>
          <w:lang w:eastAsia="it-IT"/>
        </w:rPr>
        <w:t xml:space="preserve"> (Coliva 2015)</w:t>
      </w:r>
      <w:r w:rsidRPr="00F64509">
        <w:rPr>
          <w:rFonts w:asciiTheme="majorBidi" w:eastAsia="Times New Roman" w:hAnsiTheme="majorBidi" w:cstheme="majorBidi"/>
          <w:color w:val="000000"/>
          <w:sz w:val="24"/>
          <w:szCs w:val="24"/>
          <w:lang w:eastAsia="it-IT"/>
        </w:rPr>
        <w:t>.</w:t>
      </w:r>
      <w:r w:rsidR="00B53D40" w:rsidRPr="00F64509">
        <w:rPr>
          <w:rStyle w:val="FootnoteReference"/>
          <w:rFonts w:asciiTheme="majorBidi" w:eastAsia="Times New Roman" w:hAnsiTheme="majorBidi" w:cstheme="majorBidi"/>
          <w:color w:val="000000"/>
          <w:sz w:val="24"/>
          <w:szCs w:val="24"/>
          <w:lang w:eastAsia="it-IT"/>
        </w:rPr>
        <w:footnoteReference w:id="23"/>
      </w:r>
    </w:p>
    <w:p w14:paraId="48E7F65D" w14:textId="5C7131D8" w:rsidR="004C7C7D" w:rsidRPr="00F64509" w:rsidRDefault="00EF6325"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Consequently, </w:t>
      </w:r>
      <w:r w:rsidR="00AE6BCF" w:rsidRPr="00F64509">
        <w:rPr>
          <w:rFonts w:asciiTheme="majorBidi" w:eastAsia="Times New Roman" w:hAnsiTheme="majorBidi" w:cstheme="majorBidi"/>
          <w:color w:val="000000"/>
          <w:sz w:val="24"/>
          <w:szCs w:val="24"/>
          <w:lang w:eastAsia="it-IT"/>
        </w:rPr>
        <w:t xml:space="preserve">according to Coliva, </w:t>
      </w:r>
      <w:r w:rsidR="004C7C7D" w:rsidRPr="00F64509">
        <w:rPr>
          <w:rFonts w:asciiTheme="majorBidi" w:eastAsia="Times New Roman" w:hAnsiTheme="majorBidi" w:cstheme="majorBidi"/>
          <w:color w:val="000000"/>
          <w:sz w:val="24"/>
          <w:szCs w:val="24"/>
          <w:lang w:eastAsia="it-IT"/>
        </w:rPr>
        <w:t>arguments such as</w:t>
      </w:r>
      <w:r w:rsidRPr="00F64509">
        <w:rPr>
          <w:rFonts w:asciiTheme="majorBidi" w:eastAsia="Times New Roman" w:hAnsiTheme="majorBidi" w:cstheme="majorBidi"/>
          <w:color w:val="000000"/>
          <w:sz w:val="24"/>
          <w:szCs w:val="24"/>
          <w:lang w:eastAsia="it-IT"/>
        </w:rPr>
        <w:t xml:space="preserve"> Moore</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celebrated proof</w:t>
      </w:r>
    </w:p>
    <w:p w14:paraId="05E32920" w14:textId="77777777" w:rsidR="004C7C7D" w:rsidRPr="00F64509" w:rsidRDefault="004C7C7D" w:rsidP="00F64509">
      <w:pPr>
        <w:pStyle w:val="ListParagraph"/>
        <w:numPr>
          <w:ilvl w:val="0"/>
          <w:numId w:val="1"/>
        </w:numPr>
        <w:spacing w:line="480" w:lineRule="auto"/>
        <w:contextualSpacing w:val="0"/>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Here is a hand</w:t>
      </w:r>
    </w:p>
    <w:p w14:paraId="76AD7435" w14:textId="77777777" w:rsidR="004C7C7D" w:rsidRPr="00F64509" w:rsidRDefault="004C7C7D" w:rsidP="00F64509">
      <w:pPr>
        <w:pStyle w:val="ListParagraph"/>
        <w:numPr>
          <w:ilvl w:val="0"/>
          <w:numId w:val="1"/>
        </w:numPr>
        <w:spacing w:line="480" w:lineRule="auto"/>
        <w:contextualSpacing w:val="0"/>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If there is a hand here, there is an external world</w:t>
      </w:r>
    </w:p>
    <w:p w14:paraId="556845DB" w14:textId="65E75EF2" w:rsidR="004C7C7D" w:rsidRPr="00301352" w:rsidRDefault="004C7C7D" w:rsidP="00301352">
      <w:pPr>
        <w:pStyle w:val="ListParagraph"/>
        <w:numPr>
          <w:ilvl w:val="0"/>
          <w:numId w:val="1"/>
        </w:numPr>
        <w:spacing w:line="480" w:lineRule="auto"/>
        <w:contextualSpacing w:val="0"/>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There is an external world</w:t>
      </w:r>
    </w:p>
    <w:p w14:paraId="1C4CBBA7" w14:textId="654EFFD6" w:rsidR="004C7C7D" w:rsidRPr="00F64509" w:rsidRDefault="004C7C7D" w:rsidP="00F64509">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cannot generate a justification for the </w:t>
      </w:r>
      <w:r w:rsidR="00AE6BCF" w:rsidRPr="00F64509">
        <w:rPr>
          <w:rFonts w:asciiTheme="majorBidi" w:eastAsia="Times New Roman" w:hAnsiTheme="majorBidi" w:cstheme="majorBidi"/>
          <w:color w:val="000000"/>
          <w:sz w:val="24"/>
          <w:szCs w:val="24"/>
          <w:lang w:eastAsia="it-IT"/>
        </w:rPr>
        <w:t>conclusion since</w:t>
      </w:r>
      <w:r w:rsidRPr="00F64509">
        <w:rPr>
          <w:rFonts w:asciiTheme="majorBidi" w:eastAsia="Times New Roman" w:hAnsiTheme="majorBidi" w:cstheme="majorBidi"/>
          <w:color w:val="000000"/>
          <w:sz w:val="24"/>
          <w:szCs w:val="24"/>
          <w:lang w:eastAsia="it-IT"/>
        </w:rPr>
        <w:t xml:space="preserve"> the perceptual justification we have for (I) depends on taking (III) for granted. That is, such an argument would fail to transmit justification from the premises to the conclusion</w:t>
      </w:r>
      <w:r w:rsidR="003225C4"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 </w:t>
      </w:r>
      <w:r w:rsidR="003225C4" w:rsidRPr="00F64509">
        <w:rPr>
          <w:rFonts w:asciiTheme="majorBidi" w:eastAsia="Times New Roman" w:hAnsiTheme="majorBidi" w:cstheme="majorBidi"/>
          <w:color w:val="000000"/>
          <w:sz w:val="24"/>
          <w:szCs w:val="24"/>
          <w:lang w:eastAsia="it-IT"/>
        </w:rPr>
        <w:t>F</w:t>
      </w:r>
      <w:r w:rsidR="009D36CD" w:rsidRPr="00F64509">
        <w:rPr>
          <w:rFonts w:asciiTheme="majorBidi" w:eastAsia="Times New Roman" w:hAnsiTheme="majorBidi" w:cstheme="majorBidi"/>
          <w:color w:val="000000"/>
          <w:sz w:val="24"/>
          <w:szCs w:val="24"/>
          <w:lang w:eastAsia="it-IT"/>
        </w:rPr>
        <w:t>or</w:t>
      </w:r>
      <w:r w:rsidRPr="00F64509">
        <w:rPr>
          <w:rFonts w:asciiTheme="majorBidi" w:eastAsia="Times New Roman" w:hAnsiTheme="majorBidi" w:cstheme="majorBidi"/>
          <w:color w:val="000000"/>
          <w:sz w:val="24"/>
          <w:szCs w:val="24"/>
          <w:lang w:eastAsia="it-IT"/>
        </w:rPr>
        <w:t xml:space="preserve"> presupposing the latter is necessary to have justification for</w:t>
      </w:r>
      <w:r w:rsidR="003225C4" w:rsidRPr="00F64509">
        <w:rPr>
          <w:rFonts w:asciiTheme="majorBidi" w:eastAsia="Times New Roman" w:hAnsiTheme="majorBidi" w:cstheme="majorBidi"/>
          <w:color w:val="000000"/>
          <w:sz w:val="24"/>
          <w:szCs w:val="24"/>
          <w:lang w:eastAsia="it-IT"/>
        </w:rPr>
        <w:t xml:space="preserve"> premise </w:t>
      </w:r>
      <w:r w:rsidRPr="00F64509">
        <w:rPr>
          <w:rFonts w:asciiTheme="majorBidi" w:eastAsia="Times New Roman" w:hAnsiTheme="majorBidi" w:cstheme="majorBidi"/>
          <w:color w:val="000000"/>
          <w:sz w:val="24"/>
          <w:szCs w:val="24"/>
          <w:lang w:eastAsia="it-IT"/>
        </w:rPr>
        <w:t>(I) in the first place.</w:t>
      </w:r>
      <w:r w:rsidRPr="00F64509">
        <w:rPr>
          <w:rStyle w:val="FootnoteReference"/>
          <w:rFonts w:asciiTheme="majorBidi" w:eastAsia="Times New Roman" w:hAnsiTheme="majorBidi" w:cstheme="majorBidi"/>
          <w:color w:val="000000"/>
          <w:sz w:val="24"/>
          <w:szCs w:val="24"/>
          <w:lang w:eastAsia="it-IT"/>
        </w:rPr>
        <w:footnoteReference w:id="24"/>
      </w:r>
      <w:r w:rsidRPr="00F64509">
        <w:rPr>
          <w:rFonts w:asciiTheme="majorBidi" w:eastAsia="Times New Roman" w:hAnsiTheme="majorBidi" w:cstheme="majorBidi"/>
          <w:color w:val="000000"/>
          <w:sz w:val="24"/>
          <w:szCs w:val="24"/>
          <w:lang w:eastAsia="it-IT"/>
        </w:rPr>
        <w:t xml:space="preserve"> </w:t>
      </w:r>
    </w:p>
    <w:p w14:paraId="46C7A805" w14:textId="57143917" w:rsidR="004C7C7D" w:rsidRPr="00F64509" w:rsidRDefault="004C7C7D"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lastRenderedPageBreak/>
        <w:t xml:space="preserve">Since, for reasons explored at length in Coliva (2015, chapter 2), </w:t>
      </w:r>
      <w:r w:rsidR="00AE6BCF" w:rsidRPr="00F64509">
        <w:rPr>
          <w:rFonts w:asciiTheme="majorBidi" w:eastAsia="Times New Roman" w:hAnsiTheme="majorBidi" w:cstheme="majorBidi"/>
          <w:color w:val="000000"/>
          <w:sz w:val="24"/>
          <w:szCs w:val="24"/>
          <w:lang w:eastAsia="it-IT"/>
        </w:rPr>
        <w:t>Coliva</w:t>
      </w:r>
      <w:r w:rsidRPr="00F64509">
        <w:rPr>
          <w:rFonts w:asciiTheme="majorBidi" w:eastAsia="Times New Roman" w:hAnsiTheme="majorBidi" w:cstheme="majorBidi"/>
          <w:color w:val="000000"/>
          <w:sz w:val="24"/>
          <w:szCs w:val="24"/>
          <w:lang w:eastAsia="it-IT"/>
        </w:rPr>
        <w:t xml:space="preserve"> </w:t>
      </w:r>
      <w:r w:rsidR="009D36CD" w:rsidRPr="00F64509">
        <w:rPr>
          <w:rFonts w:asciiTheme="majorBidi" w:eastAsia="Times New Roman" w:hAnsiTheme="majorBidi" w:cstheme="majorBidi"/>
          <w:color w:val="000000"/>
          <w:sz w:val="24"/>
          <w:szCs w:val="24"/>
          <w:lang w:eastAsia="it-IT"/>
        </w:rPr>
        <w:t>concurs with Humean skeptics that</w:t>
      </w:r>
      <w:r w:rsidRPr="00F64509">
        <w:rPr>
          <w:rFonts w:asciiTheme="majorBidi" w:eastAsia="Times New Roman" w:hAnsiTheme="majorBidi" w:cstheme="majorBidi"/>
          <w:color w:val="000000"/>
          <w:sz w:val="24"/>
          <w:szCs w:val="24"/>
          <w:lang w:eastAsia="it-IT"/>
        </w:rPr>
        <w:t xml:space="preserve"> it is</w:t>
      </w:r>
      <w:r w:rsidR="009D36CD" w:rsidRPr="00F64509">
        <w:rPr>
          <w:rFonts w:asciiTheme="majorBidi" w:eastAsia="Times New Roman" w:hAnsiTheme="majorBidi" w:cstheme="majorBidi"/>
          <w:color w:val="000000"/>
          <w:sz w:val="24"/>
          <w:szCs w:val="24"/>
          <w:lang w:eastAsia="it-IT"/>
        </w:rPr>
        <w:t>n</w:t>
      </w:r>
      <w:r w:rsidR="00B53A7E" w:rsidRPr="00F64509">
        <w:rPr>
          <w:rFonts w:asciiTheme="majorBidi" w:eastAsia="Times New Roman" w:hAnsiTheme="majorBidi" w:cstheme="majorBidi"/>
          <w:color w:val="000000"/>
          <w:sz w:val="24"/>
          <w:szCs w:val="24"/>
          <w:lang w:eastAsia="it-IT"/>
        </w:rPr>
        <w:t>’</w:t>
      </w:r>
      <w:r w:rsidR="009D36CD" w:rsidRPr="00F64509">
        <w:rPr>
          <w:rFonts w:asciiTheme="majorBidi" w:eastAsia="Times New Roman" w:hAnsiTheme="majorBidi" w:cstheme="majorBidi"/>
          <w:color w:val="000000"/>
          <w:sz w:val="24"/>
          <w:szCs w:val="24"/>
          <w:lang w:eastAsia="it-IT"/>
        </w:rPr>
        <w:t>t</w:t>
      </w:r>
      <w:r w:rsidRPr="00F64509">
        <w:rPr>
          <w:rFonts w:asciiTheme="majorBidi" w:eastAsia="Times New Roman" w:hAnsiTheme="majorBidi" w:cstheme="majorBidi"/>
          <w:color w:val="000000"/>
          <w:sz w:val="24"/>
          <w:szCs w:val="24"/>
          <w:lang w:eastAsia="it-IT"/>
        </w:rPr>
        <w:t xml:space="preserve"> possible to justify (III) independently</w:t>
      </w:r>
      <w:r w:rsidR="00B53D40" w:rsidRPr="00F64509">
        <w:rPr>
          <w:rFonts w:asciiTheme="majorBidi" w:eastAsia="Times New Roman" w:hAnsiTheme="majorBidi" w:cstheme="majorBidi"/>
          <w:color w:val="000000"/>
          <w:sz w:val="24"/>
          <w:szCs w:val="24"/>
          <w:lang w:eastAsia="it-IT"/>
        </w:rPr>
        <w:t xml:space="preserve">, either </w:t>
      </w:r>
      <w:r w:rsidRPr="00F64509">
        <w:rPr>
          <w:rFonts w:asciiTheme="majorBidi" w:eastAsia="Times New Roman" w:hAnsiTheme="majorBidi" w:cstheme="majorBidi"/>
          <w:color w:val="000000"/>
          <w:sz w:val="24"/>
          <w:szCs w:val="24"/>
          <w:lang w:eastAsia="it-IT"/>
        </w:rPr>
        <w:t xml:space="preserve">by means of a priori arguments or through Wright-style entitlements, it turns out that (III) is in fact unjustified and unjustifiable (and, a fortiori, neither known nor knowable). Yet, if this is correct, it means that Closure for </w:t>
      </w:r>
      <w:r w:rsidR="004737DC" w:rsidRPr="00F64509">
        <w:rPr>
          <w:rFonts w:asciiTheme="majorBidi" w:eastAsia="Times New Roman" w:hAnsiTheme="majorBidi" w:cstheme="majorBidi"/>
          <w:color w:val="000000"/>
          <w:sz w:val="24"/>
          <w:szCs w:val="24"/>
          <w:lang w:eastAsia="it-IT"/>
        </w:rPr>
        <w:t xml:space="preserve">justification and </w:t>
      </w:r>
      <w:r w:rsidRPr="00F64509">
        <w:rPr>
          <w:rFonts w:asciiTheme="majorBidi" w:eastAsia="Times New Roman" w:hAnsiTheme="majorBidi" w:cstheme="majorBidi"/>
          <w:color w:val="000000"/>
          <w:sz w:val="24"/>
          <w:szCs w:val="24"/>
          <w:lang w:eastAsia="it-IT"/>
        </w:rPr>
        <w:t>knowledge fails in this case, and in all other cases in which the conclusion of this pattern of argument would be a heavy-weight assumption which is necessary</w:t>
      </w:r>
      <w:r w:rsidR="003225C4" w:rsidRPr="00F64509">
        <w:rPr>
          <w:rFonts w:asciiTheme="majorBidi" w:eastAsia="Times New Roman" w:hAnsiTheme="majorBidi" w:cstheme="majorBidi"/>
          <w:color w:val="000000"/>
          <w:sz w:val="24"/>
          <w:szCs w:val="24"/>
          <w:lang w:eastAsia="it-IT"/>
        </w:rPr>
        <w:t>, in its turn,</w:t>
      </w:r>
      <w:r w:rsidRPr="00F64509">
        <w:rPr>
          <w:rFonts w:asciiTheme="majorBidi" w:eastAsia="Times New Roman" w:hAnsiTheme="majorBidi" w:cstheme="majorBidi"/>
          <w:color w:val="000000"/>
          <w:sz w:val="24"/>
          <w:szCs w:val="24"/>
          <w:lang w:eastAsia="it-IT"/>
        </w:rPr>
        <w:t xml:space="preserve"> to have a justification for a premise like (I). Thus, </w:t>
      </w:r>
      <w:r w:rsidR="00AE6BCF" w:rsidRPr="00F64509">
        <w:rPr>
          <w:rFonts w:asciiTheme="majorBidi" w:eastAsia="Times New Roman" w:hAnsiTheme="majorBidi" w:cstheme="majorBidi"/>
          <w:color w:val="000000"/>
          <w:sz w:val="24"/>
          <w:szCs w:val="24"/>
          <w:lang w:eastAsia="it-IT"/>
        </w:rPr>
        <w:t>according to Coliva</w:t>
      </w:r>
      <w:r w:rsidRPr="00F64509">
        <w:rPr>
          <w:rFonts w:asciiTheme="majorBidi" w:eastAsia="Times New Roman" w:hAnsiTheme="majorBidi" w:cstheme="majorBidi"/>
          <w:color w:val="000000"/>
          <w:sz w:val="24"/>
          <w:szCs w:val="24"/>
          <w:lang w:eastAsia="it-IT"/>
        </w:rPr>
        <w:t>, Closure does not hold unrestrictedly. Yet, its failure in such cases is compatible with its retention in all those cases in which ordinary empirical propositions are involved.</w:t>
      </w:r>
      <w:r w:rsidRPr="00F64509">
        <w:rPr>
          <w:rStyle w:val="FootnoteReference"/>
          <w:rFonts w:asciiTheme="majorBidi" w:eastAsia="Times New Roman" w:hAnsiTheme="majorBidi" w:cstheme="majorBidi"/>
          <w:color w:val="000000"/>
          <w:sz w:val="24"/>
          <w:szCs w:val="24"/>
          <w:lang w:eastAsia="it-IT"/>
        </w:rPr>
        <w:footnoteReference w:id="25"/>
      </w:r>
    </w:p>
    <w:p w14:paraId="7485A40D" w14:textId="4E5BCB58" w:rsidR="004C7C7D" w:rsidRPr="00F64509" w:rsidRDefault="004C7C7D"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This, in turn, allows </w:t>
      </w:r>
      <w:r w:rsidR="00AE6BCF" w:rsidRPr="00F64509">
        <w:rPr>
          <w:rFonts w:asciiTheme="majorBidi" w:eastAsia="Times New Roman" w:hAnsiTheme="majorBidi" w:cstheme="majorBidi"/>
          <w:color w:val="000000"/>
          <w:sz w:val="24"/>
          <w:szCs w:val="24"/>
          <w:lang w:eastAsia="it-IT"/>
        </w:rPr>
        <w:t>Coliva</w:t>
      </w:r>
      <w:r w:rsidRPr="00F64509">
        <w:rPr>
          <w:rFonts w:asciiTheme="majorBidi" w:eastAsia="Times New Roman" w:hAnsiTheme="majorBidi" w:cstheme="majorBidi"/>
          <w:color w:val="000000"/>
          <w:sz w:val="24"/>
          <w:szCs w:val="24"/>
          <w:lang w:eastAsia="it-IT"/>
        </w:rPr>
        <w:t xml:space="preserve"> to counter Cartesian skepticism by holding, first, that “I am not a BIV” and “I am not the victim of a lucid and sustained dream” play a hinge-like role and </w:t>
      </w:r>
      <w:r w:rsidR="004737DC" w:rsidRPr="00F64509">
        <w:rPr>
          <w:rFonts w:asciiTheme="majorBidi" w:eastAsia="Times New Roman" w:hAnsiTheme="majorBidi" w:cstheme="majorBidi"/>
          <w:color w:val="000000"/>
          <w:sz w:val="24"/>
          <w:szCs w:val="24"/>
          <w:lang w:eastAsia="it-IT"/>
        </w:rPr>
        <w:t>must</w:t>
      </w:r>
      <w:r w:rsidRPr="00F64509">
        <w:rPr>
          <w:rFonts w:asciiTheme="majorBidi" w:eastAsia="Times New Roman" w:hAnsiTheme="majorBidi" w:cstheme="majorBidi"/>
          <w:color w:val="000000"/>
          <w:sz w:val="24"/>
          <w:szCs w:val="24"/>
          <w:lang w:eastAsia="it-IT"/>
        </w:rPr>
        <w:t xml:space="preserve"> be presupposed </w:t>
      </w:r>
      <w:r w:rsidR="004737DC" w:rsidRPr="00F64509">
        <w:rPr>
          <w:rFonts w:asciiTheme="majorBidi" w:eastAsia="Times New Roman" w:hAnsiTheme="majorBidi" w:cstheme="majorBidi"/>
          <w:color w:val="000000"/>
          <w:sz w:val="24"/>
          <w:szCs w:val="24"/>
          <w:lang w:eastAsia="it-IT"/>
        </w:rPr>
        <w:t>for</w:t>
      </w:r>
      <w:r w:rsidRPr="00F64509">
        <w:rPr>
          <w:rFonts w:asciiTheme="majorBidi" w:eastAsia="Times New Roman" w:hAnsiTheme="majorBidi" w:cstheme="majorBidi"/>
          <w:color w:val="000000"/>
          <w:sz w:val="24"/>
          <w:szCs w:val="24"/>
          <w:lang w:eastAsia="it-IT"/>
        </w:rPr>
        <w:t xml:space="preserve"> perceptual justification to be possible. If so, </w:t>
      </w:r>
      <w:r w:rsidR="00FA01AD" w:rsidRPr="00F64509">
        <w:rPr>
          <w:rFonts w:asciiTheme="majorBidi" w:eastAsia="Times New Roman" w:hAnsiTheme="majorBidi" w:cstheme="majorBidi"/>
          <w:color w:val="000000"/>
          <w:sz w:val="24"/>
          <w:szCs w:val="24"/>
          <w:lang w:eastAsia="it-IT"/>
        </w:rPr>
        <w:t>such anti-(Cartesian) skeptical presuppositions</w:t>
      </w:r>
      <w:r w:rsidRPr="00F64509">
        <w:rPr>
          <w:rFonts w:asciiTheme="majorBidi" w:eastAsia="Times New Roman" w:hAnsiTheme="majorBidi" w:cstheme="majorBidi"/>
          <w:color w:val="000000"/>
          <w:sz w:val="24"/>
          <w:szCs w:val="24"/>
          <w:lang w:eastAsia="it-IT"/>
        </w:rPr>
        <w:t xml:space="preserve"> cannot be justified either through an argument like the previous one (with either of them in place of (III) “there is an external world”), or in any other way. Hence, Closure fails for them. Therefore, even if we don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t </w:t>
      </w:r>
      <w:r w:rsidR="004737DC" w:rsidRPr="00F64509">
        <w:rPr>
          <w:rFonts w:asciiTheme="majorBidi" w:eastAsia="Times New Roman" w:hAnsiTheme="majorBidi" w:cstheme="majorBidi"/>
          <w:color w:val="000000"/>
          <w:sz w:val="24"/>
          <w:szCs w:val="24"/>
          <w:lang w:eastAsia="it-IT"/>
        </w:rPr>
        <w:t xml:space="preserve">justifiably believe or </w:t>
      </w:r>
      <w:r w:rsidRPr="00F64509">
        <w:rPr>
          <w:rFonts w:asciiTheme="majorBidi" w:eastAsia="Times New Roman" w:hAnsiTheme="majorBidi" w:cstheme="majorBidi"/>
          <w:color w:val="000000"/>
          <w:sz w:val="24"/>
          <w:szCs w:val="24"/>
          <w:lang w:eastAsia="it-IT"/>
        </w:rPr>
        <w:t xml:space="preserve">know either of them, we can still </w:t>
      </w:r>
      <w:r w:rsidR="004737DC" w:rsidRPr="00F64509">
        <w:rPr>
          <w:rFonts w:asciiTheme="majorBidi" w:eastAsia="Times New Roman" w:hAnsiTheme="majorBidi" w:cstheme="majorBidi"/>
          <w:color w:val="000000"/>
          <w:sz w:val="24"/>
          <w:szCs w:val="24"/>
          <w:lang w:eastAsia="it-IT"/>
        </w:rPr>
        <w:t xml:space="preserve">justifiably believe or </w:t>
      </w:r>
      <w:r w:rsidRPr="00F64509">
        <w:rPr>
          <w:rFonts w:asciiTheme="majorBidi" w:eastAsia="Times New Roman" w:hAnsiTheme="majorBidi" w:cstheme="majorBidi"/>
          <w:color w:val="000000"/>
          <w:sz w:val="24"/>
          <w:szCs w:val="24"/>
          <w:lang w:eastAsia="it-IT"/>
        </w:rPr>
        <w:t>know ordinary empirical propositions such as (I).</w:t>
      </w:r>
    </w:p>
    <w:p w14:paraId="45F37791" w14:textId="14C11819" w:rsidR="004C7C7D" w:rsidRPr="00F64509" w:rsidRDefault="004C7C7D"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Notice that this style of reply to Cartesian skepticism does not take issue with the conceivability of Cartesian skeptical scenarios. In this sense, </w:t>
      </w:r>
      <w:r w:rsidR="00AE6BCF" w:rsidRPr="00F64509">
        <w:rPr>
          <w:rFonts w:asciiTheme="majorBidi" w:eastAsia="Times New Roman" w:hAnsiTheme="majorBidi" w:cstheme="majorBidi"/>
          <w:color w:val="000000"/>
          <w:sz w:val="24"/>
          <w:szCs w:val="24"/>
          <w:lang w:eastAsia="it-IT"/>
        </w:rPr>
        <w:t>Coliva</w:t>
      </w:r>
      <w:r w:rsidR="00B53A7E" w:rsidRPr="00F64509">
        <w:rPr>
          <w:rFonts w:asciiTheme="majorBidi" w:eastAsia="Times New Roman" w:hAnsiTheme="majorBidi" w:cstheme="majorBidi"/>
          <w:color w:val="000000"/>
          <w:sz w:val="24"/>
          <w:szCs w:val="24"/>
          <w:lang w:eastAsia="it-IT"/>
        </w:rPr>
        <w:t>’</w:t>
      </w:r>
      <w:r w:rsidR="00AE6BCF" w:rsidRPr="00F64509">
        <w:rPr>
          <w:rFonts w:asciiTheme="majorBidi" w:eastAsia="Times New Roman" w:hAnsiTheme="majorBidi" w:cstheme="majorBidi"/>
          <w:color w:val="000000"/>
          <w:sz w:val="24"/>
          <w:szCs w:val="24"/>
          <w:lang w:eastAsia="it-IT"/>
        </w:rPr>
        <w:t>s</w:t>
      </w:r>
      <w:r w:rsidRPr="00F64509">
        <w:rPr>
          <w:rFonts w:asciiTheme="majorBidi" w:eastAsia="Times New Roman" w:hAnsiTheme="majorBidi" w:cstheme="majorBidi"/>
          <w:color w:val="000000"/>
          <w:sz w:val="24"/>
          <w:szCs w:val="24"/>
          <w:lang w:eastAsia="it-IT"/>
        </w:rPr>
        <w:t xml:space="preserve"> account departs from Wittgenstein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s, who notoriously claims that since “I am dreaming” cannot be coherently asserted or thought,</w:t>
      </w:r>
      <w:r w:rsidRPr="00F64509">
        <w:rPr>
          <w:rStyle w:val="FootnoteReference"/>
          <w:rFonts w:asciiTheme="majorBidi" w:eastAsia="Times New Roman" w:hAnsiTheme="majorBidi" w:cstheme="majorBidi"/>
          <w:color w:val="000000"/>
          <w:sz w:val="24"/>
          <w:szCs w:val="24"/>
          <w:lang w:eastAsia="it-IT"/>
        </w:rPr>
        <w:footnoteReference w:id="26"/>
      </w:r>
      <w:r w:rsidRPr="00F64509">
        <w:rPr>
          <w:rFonts w:asciiTheme="majorBidi" w:eastAsia="Times New Roman" w:hAnsiTheme="majorBidi" w:cstheme="majorBidi"/>
          <w:color w:val="000000"/>
          <w:sz w:val="24"/>
          <w:szCs w:val="24"/>
          <w:lang w:eastAsia="it-IT"/>
        </w:rPr>
        <w:t xml:space="preserve"> its negation can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t either. In other words, for Wittgenstein, “I am not now dreaming” would be a piece of nonsense, </w:t>
      </w:r>
      <w:r w:rsidR="00176DA6" w:rsidRPr="00F64509">
        <w:rPr>
          <w:rFonts w:asciiTheme="majorBidi" w:eastAsia="Times New Roman" w:hAnsiTheme="majorBidi" w:cstheme="majorBidi"/>
          <w:color w:val="000000"/>
          <w:sz w:val="24"/>
          <w:szCs w:val="24"/>
          <w:lang w:eastAsia="it-IT"/>
        </w:rPr>
        <w:t>and hence</w:t>
      </w:r>
      <w:r w:rsidRPr="00F64509">
        <w:rPr>
          <w:rFonts w:asciiTheme="majorBidi" w:eastAsia="Times New Roman" w:hAnsiTheme="majorBidi" w:cstheme="majorBidi"/>
          <w:color w:val="000000"/>
          <w:sz w:val="24"/>
          <w:szCs w:val="24"/>
          <w:lang w:eastAsia="it-IT"/>
        </w:rPr>
        <w:t xml:space="preserve"> could not figure as a conclusion of any sensible argument. Yet, </w:t>
      </w:r>
      <w:r w:rsidR="00AE6BCF" w:rsidRPr="00F64509">
        <w:rPr>
          <w:rFonts w:asciiTheme="majorBidi" w:eastAsia="Times New Roman" w:hAnsiTheme="majorBidi" w:cstheme="majorBidi"/>
          <w:color w:val="000000"/>
          <w:sz w:val="24"/>
          <w:szCs w:val="24"/>
          <w:lang w:eastAsia="it-IT"/>
        </w:rPr>
        <w:t>Coliva thinks</w:t>
      </w:r>
      <w:r w:rsidRPr="00F64509">
        <w:rPr>
          <w:rFonts w:asciiTheme="majorBidi" w:eastAsia="Times New Roman" w:hAnsiTheme="majorBidi" w:cstheme="majorBidi"/>
          <w:color w:val="000000"/>
          <w:sz w:val="24"/>
          <w:szCs w:val="24"/>
          <w:lang w:eastAsia="it-IT"/>
        </w:rPr>
        <w:t xml:space="preserve"> this </w:t>
      </w:r>
      <w:r w:rsidR="00AE6BCF" w:rsidRPr="00F64509">
        <w:rPr>
          <w:rFonts w:asciiTheme="majorBidi" w:eastAsia="Times New Roman" w:hAnsiTheme="majorBidi" w:cstheme="majorBidi"/>
          <w:color w:val="000000"/>
          <w:sz w:val="24"/>
          <w:szCs w:val="24"/>
          <w:lang w:eastAsia="it-IT"/>
        </w:rPr>
        <w:t>departure from Wittgenstein</w:t>
      </w:r>
      <w:r w:rsidR="00B53A7E" w:rsidRPr="00F64509">
        <w:rPr>
          <w:rFonts w:asciiTheme="majorBidi" w:eastAsia="Times New Roman" w:hAnsiTheme="majorBidi" w:cstheme="majorBidi"/>
          <w:color w:val="000000"/>
          <w:sz w:val="24"/>
          <w:szCs w:val="24"/>
          <w:lang w:eastAsia="it-IT"/>
        </w:rPr>
        <w:t>’</w:t>
      </w:r>
      <w:r w:rsidR="00AE6BCF" w:rsidRPr="00F64509">
        <w:rPr>
          <w:rFonts w:asciiTheme="majorBidi" w:eastAsia="Times New Roman" w:hAnsiTheme="majorBidi" w:cstheme="majorBidi"/>
          <w:color w:val="000000"/>
          <w:sz w:val="24"/>
          <w:szCs w:val="24"/>
          <w:lang w:eastAsia="it-IT"/>
        </w:rPr>
        <w:t xml:space="preserve">s argument against Cartesian skepticism </w:t>
      </w:r>
      <w:r w:rsidRPr="00F64509">
        <w:rPr>
          <w:rFonts w:asciiTheme="majorBidi" w:eastAsia="Times New Roman" w:hAnsiTheme="majorBidi" w:cstheme="majorBidi"/>
          <w:color w:val="000000"/>
          <w:sz w:val="24"/>
          <w:szCs w:val="24"/>
          <w:lang w:eastAsia="it-IT"/>
        </w:rPr>
        <w:t xml:space="preserve">is </w:t>
      </w:r>
      <w:r w:rsidR="00FA01AD" w:rsidRPr="00F64509">
        <w:rPr>
          <w:rFonts w:asciiTheme="majorBidi" w:eastAsia="Times New Roman" w:hAnsiTheme="majorBidi" w:cstheme="majorBidi"/>
          <w:color w:val="000000"/>
          <w:sz w:val="24"/>
          <w:szCs w:val="24"/>
          <w:lang w:eastAsia="it-IT"/>
        </w:rPr>
        <w:t>for</w:t>
      </w:r>
      <w:r w:rsidRPr="00F64509">
        <w:rPr>
          <w:rFonts w:asciiTheme="majorBidi" w:eastAsia="Times New Roman" w:hAnsiTheme="majorBidi" w:cstheme="majorBidi"/>
          <w:color w:val="000000"/>
          <w:sz w:val="24"/>
          <w:szCs w:val="24"/>
          <w:lang w:eastAsia="it-IT"/>
        </w:rPr>
        <w:t xml:space="preserve"> </w:t>
      </w:r>
      <w:r w:rsidRPr="00F64509">
        <w:rPr>
          <w:rFonts w:asciiTheme="majorBidi" w:eastAsia="Times New Roman" w:hAnsiTheme="majorBidi" w:cstheme="majorBidi"/>
          <w:color w:val="000000"/>
          <w:sz w:val="24"/>
          <w:szCs w:val="24"/>
          <w:lang w:eastAsia="it-IT"/>
        </w:rPr>
        <w:lastRenderedPageBreak/>
        <w:t>the better, since Wittgenstein</w:t>
      </w:r>
      <w:r w:rsidR="00B53A7E" w:rsidRPr="00F64509">
        <w:rPr>
          <w:rFonts w:asciiTheme="majorBidi" w:eastAsia="Times New Roman" w:hAnsiTheme="majorBidi" w:cstheme="majorBidi"/>
          <w:color w:val="000000"/>
          <w:sz w:val="24"/>
          <w:szCs w:val="24"/>
          <w:lang w:eastAsia="it-IT"/>
        </w:rPr>
        <w:t>’</w:t>
      </w:r>
      <w:r w:rsidRPr="00F64509">
        <w:rPr>
          <w:rFonts w:asciiTheme="majorBidi" w:eastAsia="Times New Roman" w:hAnsiTheme="majorBidi" w:cstheme="majorBidi"/>
          <w:color w:val="000000"/>
          <w:sz w:val="24"/>
          <w:szCs w:val="24"/>
          <w:lang w:eastAsia="it-IT"/>
        </w:rPr>
        <w:t xml:space="preserve">s claim is contentious, as it depends on a conception of meaning as use that is not without problems and that may not be commonly agreed upon. Furthermore, </w:t>
      </w:r>
      <w:r w:rsidR="00AE6BCF" w:rsidRPr="00F64509">
        <w:rPr>
          <w:rFonts w:asciiTheme="majorBidi" w:eastAsia="Times New Roman" w:hAnsiTheme="majorBidi" w:cstheme="majorBidi"/>
          <w:color w:val="000000"/>
          <w:sz w:val="24"/>
          <w:szCs w:val="24"/>
          <w:lang w:eastAsia="it-IT"/>
        </w:rPr>
        <w:t>this departure from Wittgenstein</w:t>
      </w:r>
      <w:r w:rsidRPr="00F64509">
        <w:rPr>
          <w:rFonts w:asciiTheme="majorBidi" w:eastAsia="Times New Roman" w:hAnsiTheme="majorBidi" w:cstheme="majorBidi"/>
          <w:color w:val="000000"/>
          <w:sz w:val="24"/>
          <w:szCs w:val="24"/>
          <w:lang w:eastAsia="it-IT"/>
        </w:rPr>
        <w:t xml:space="preserve"> </w:t>
      </w:r>
      <w:r w:rsidR="00FA01AD" w:rsidRPr="00F64509">
        <w:rPr>
          <w:rFonts w:asciiTheme="majorBidi" w:eastAsia="Times New Roman" w:hAnsiTheme="majorBidi" w:cstheme="majorBidi"/>
          <w:color w:val="000000"/>
          <w:sz w:val="24"/>
          <w:szCs w:val="24"/>
          <w:lang w:eastAsia="it-IT"/>
        </w:rPr>
        <w:t>allows bringing a Wittgenstein-inspired conception of the role played by such assumptions with respect to our epistemic practices to bear onto present-day discussions of skepticism</w:t>
      </w:r>
      <w:r w:rsidRPr="00F64509">
        <w:rPr>
          <w:rFonts w:asciiTheme="majorBidi" w:eastAsia="Times New Roman" w:hAnsiTheme="majorBidi" w:cstheme="majorBidi"/>
          <w:color w:val="000000"/>
          <w:sz w:val="24"/>
          <w:szCs w:val="24"/>
          <w:lang w:eastAsia="it-IT"/>
        </w:rPr>
        <w:t xml:space="preserve">, </w:t>
      </w:r>
      <w:r w:rsidR="00FA01AD" w:rsidRPr="00F64509">
        <w:rPr>
          <w:rFonts w:asciiTheme="majorBidi" w:eastAsia="Times New Roman" w:hAnsiTheme="majorBidi" w:cstheme="majorBidi"/>
          <w:color w:val="000000"/>
          <w:sz w:val="24"/>
          <w:szCs w:val="24"/>
          <w:lang w:eastAsia="it-IT"/>
        </w:rPr>
        <w:t>which</w:t>
      </w:r>
      <w:r w:rsidRPr="00F64509">
        <w:rPr>
          <w:rFonts w:asciiTheme="majorBidi" w:eastAsia="Times New Roman" w:hAnsiTheme="majorBidi" w:cstheme="majorBidi"/>
          <w:color w:val="000000"/>
          <w:sz w:val="24"/>
          <w:szCs w:val="24"/>
          <w:lang w:eastAsia="it-IT"/>
        </w:rPr>
        <w:t xml:space="preserve"> tend to proceed by taking for granted that </w:t>
      </w:r>
      <w:r w:rsidR="00FA01AD" w:rsidRPr="00F64509">
        <w:rPr>
          <w:rFonts w:asciiTheme="majorBidi" w:eastAsia="Times New Roman" w:hAnsiTheme="majorBidi" w:cstheme="majorBidi"/>
          <w:color w:val="000000"/>
          <w:sz w:val="24"/>
          <w:szCs w:val="24"/>
          <w:lang w:eastAsia="it-IT"/>
        </w:rPr>
        <w:t>Cartesian skeptical</w:t>
      </w:r>
      <w:r w:rsidRPr="00F64509">
        <w:rPr>
          <w:rFonts w:asciiTheme="majorBidi" w:eastAsia="Times New Roman" w:hAnsiTheme="majorBidi" w:cstheme="majorBidi"/>
          <w:color w:val="000000"/>
          <w:sz w:val="24"/>
          <w:szCs w:val="24"/>
          <w:lang w:eastAsia="it-IT"/>
        </w:rPr>
        <w:t xml:space="preserve"> scenarios are at least conceivable.</w:t>
      </w:r>
    </w:p>
    <w:p w14:paraId="283EBE6F" w14:textId="494F3C78" w:rsidR="004C7C7D" w:rsidRPr="00F64509" w:rsidRDefault="004C7C7D"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 xml:space="preserve">Yet, as </w:t>
      </w:r>
      <w:r w:rsidR="00AE6BCF" w:rsidRPr="00F64509">
        <w:rPr>
          <w:rFonts w:asciiTheme="majorBidi" w:eastAsia="Times New Roman" w:hAnsiTheme="majorBidi" w:cstheme="majorBidi"/>
          <w:color w:val="000000"/>
          <w:sz w:val="24"/>
          <w:szCs w:val="24"/>
          <w:lang w:eastAsia="it-IT"/>
        </w:rPr>
        <w:t>noted</w:t>
      </w:r>
      <w:r w:rsidRPr="00F64509">
        <w:rPr>
          <w:rFonts w:asciiTheme="majorBidi" w:eastAsia="Times New Roman" w:hAnsiTheme="majorBidi" w:cstheme="majorBidi"/>
          <w:color w:val="000000"/>
          <w:sz w:val="24"/>
          <w:szCs w:val="24"/>
          <w:lang w:eastAsia="it-IT"/>
        </w:rPr>
        <w:t xml:space="preserve">, </w:t>
      </w:r>
      <w:r w:rsidR="00AE6BCF" w:rsidRPr="00F64509">
        <w:rPr>
          <w:rFonts w:asciiTheme="majorBidi" w:eastAsia="Times New Roman" w:hAnsiTheme="majorBidi" w:cstheme="majorBidi"/>
          <w:color w:val="000000"/>
          <w:sz w:val="24"/>
          <w:szCs w:val="24"/>
          <w:lang w:eastAsia="it-IT"/>
        </w:rPr>
        <w:t>Coliva</w:t>
      </w:r>
      <w:r w:rsidR="00B53A7E" w:rsidRPr="00F64509">
        <w:rPr>
          <w:rFonts w:asciiTheme="majorBidi" w:eastAsia="Times New Roman" w:hAnsiTheme="majorBidi" w:cstheme="majorBidi"/>
          <w:color w:val="000000"/>
          <w:sz w:val="24"/>
          <w:szCs w:val="24"/>
          <w:lang w:eastAsia="it-IT"/>
        </w:rPr>
        <w:t>’</w:t>
      </w:r>
      <w:r w:rsidR="00AE6BCF" w:rsidRPr="00F64509">
        <w:rPr>
          <w:rFonts w:asciiTheme="majorBidi" w:eastAsia="Times New Roman" w:hAnsiTheme="majorBidi" w:cstheme="majorBidi"/>
          <w:color w:val="000000"/>
          <w:sz w:val="24"/>
          <w:szCs w:val="24"/>
          <w:lang w:eastAsia="it-IT"/>
        </w:rPr>
        <w:t>s</w:t>
      </w:r>
      <w:r w:rsidRPr="00F64509">
        <w:rPr>
          <w:rFonts w:asciiTheme="majorBidi" w:eastAsia="Times New Roman" w:hAnsiTheme="majorBidi" w:cstheme="majorBidi"/>
          <w:color w:val="000000"/>
          <w:sz w:val="24"/>
          <w:szCs w:val="24"/>
          <w:lang w:eastAsia="it-IT"/>
        </w:rPr>
        <w:t xml:space="preserve"> main preoccupation is with Humean, rather than Cartesian skepticism. Humean skepticism does not make play with far-fetched skeptical scenarios, </w:t>
      </w:r>
      <w:r w:rsidR="004737DC" w:rsidRPr="00F64509">
        <w:rPr>
          <w:rFonts w:asciiTheme="majorBidi" w:eastAsia="Times New Roman" w:hAnsiTheme="majorBidi" w:cstheme="majorBidi"/>
          <w:color w:val="000000"/>
          <w:sz w:val="24"/>
          <w:szCs w:val="24"/>
          <w:lang w:eastAsia="it-IT"/>
        </w:rPr>
        <w:t>the</w:t>
      </w:r>
      <w:r w:rsidRPr="00F64509">
        <w:rPr>
          <w:rFonts w:asciiTheme="majorBidi" w:eastAsia="Times New Roman" w:hAnsiTheme="majorBidi" w:cstheme="majorBidi"/>
          <w:color w:val="000000"/>
          <w:sz w:val="24"/>
          <w:szCs w:val="24"/>
          <w:lang w:eastAsia="it-IT"/>
        </w:rPr>
        <w:t xml:space="preserve"> conceivability </w:t>
      </w:r>
      <w:r w:rsidR="004737DC" w:rsidRPr="00F64509">
        <w:rPr>
          <w:rFonts w:asciiTheme="majorBidi" w:eastAsia="Times New Roman" w:hAnsiTheme="majorBidi" w:cstheme="majorBidi"/>
          <w:color w:val="000000"/>
          <w:sz w:val="24"/>
          <w:szCs w:val="24"/>
          <w:lang w:eastAsia="it-IT"/>
        </w:rPr>
        <w:t xml:space="preserve">of which </w:t>
      </w:r>
      <w:r w:rsidRPr="00F64509">
        <w:rPr>
          <w:rFonts w:asciiTheme="majorBidi" w:eastAsia="Times New Roman" w:hAnsiTheme="majorBidi" w:cstheme="majorBidi"/>
          <w:color w:val="000000"/>
          <w:sz w:val="24"/>
          <w:szCs w:val="24"/>
          <w:lang w:eastAsia="it-IT"/>
        </w:rPr>
        <w:t>may be contentious. For</w:t>
      </w:r>
      <w:r w:rsidR="009D36CD" w:rsidRPr="00F64509">
        <w:rPr>
          <w:rFonts w:asciiTheme="majorBidi" w:eastAsia="Times New Roman" w:hAnsiTheme="majorBidi" w:cstheme="majorBidi"/>
          <w:color w:val="000000"/>
          <w:sz w:val="24"/>
          <w:szCs w:val="24"/>
          <w:lang w:eastAsia="it-IT"/>
        </w:rPr>
        <w:t>, to repeat,</w:t>
      </w:r>
      <w:r w:rsidRPr="00F64509">
        <w:rPr>
          <w:rFonts w:asciiTheme="majorBidi" w:eastAsia="Times New Roman" w:hAnsiTheme="majorBidi" w:cstheme="majorBidi"/>
          <w:color w:val="000000"/>
          <w:sz w:val="24"/>
          <w:szCs w:val="24"/>
          <w:lang w:eastAsia="it-IT"/>
        </w:rPr>
        <w:t xml:space="preserve"> Humean skepticism arises, simply, from considering arguments like the one rehearsed above, with “There is an external world” as a conclusion.</w:t>
      </w:r>
      <w:r w:rsidRPr="00F64509">
        <w:rPr>
          <w:rStyle w:val="FootnoteReference"/>
          <w:rFonts w:asciiTheme="majorBidi" w:eastAsia="Times New Roman" w:hAnsiTheme="majorBidi" w:cstheme="majorBidi"/>
          <w:color w:val="000000"/>
          <w:sz w:val="24"/>
          <w:szCs w:val="24"/>
          <w:lang w:eastAsia="it-IT"/>
        </w:rPr>
        <w:footnoteReference w:id="27"/>
      </w:r>
      <w:r w:rsidRPr="00F64509">
        <w:rPr>
          <w:rFonts w:asciiTheme="majorBidi" w:eastAsia="Times New Roman" w:hAnsiTheme="majorBidi" w:cstheme="majorBidi"/>
          <w:color w:val="000000"/>
          <w:sz w:val="24"/>
          <w:szCs w:val="24"/>
          <w:lang w:eastAsia="it-IT"/>
        </w:rPr>
        <w:t xml:space="preserve"> By noticing that (III) needs to be presupposed </w:t>
      </w:r>
      <w:r w:rsidR="004737DC" w:rsidRPr="00F64509">
        <w:rPr>
          <w:rFonts w:asciiTheme="majorBidi" w:eastAsia="Times New Roman" w:hAnsiTheme="majorBidi" w:cstheme="majorBidi"/>
          <w:color w:val="000000"/>
          <w:sz w:val="24"/>
          <w:szCs w:val="24"/>
          <w:lang w:eastAsia="it-IT"/>
        </w:rPr>
        <w:t>for</w:t>
      </w:r>
      <w:r w:rsidRPr="00F64509">
        <w:rPr>
          <w:rFonts w:asciiTheme="majorBidi" w:eastAsia="Times New Roman" w:hAnsiTheme="majorBidi" w:cstheme="majorBidi"/>
          <w:color w:val="000000"/>
          <w:sz w:val="24"/>
          <w:szCs w:val="24"/>
          <w:lang w:eastAsia="it-IT"/>
        </w:rPr>
        <w:t xml:space="preserve"> (I) to be justified, a Humean skeptic would conclude that the argument cannot generate a justification for its conclusion. If, moreover, it is agreed that there is no other way to justify it, “There is an external world” turns out to be an a-rational and arbitrary assumption. Of course, we may be compelled by our psychological nature to hold on to </w:t>
      </w:r>
      <w:r w:rsidR="00AE6BCF" w:rsidRPr="00F64509">
        <w:rPr>
          <w:rFonts w:asciiTheme="majorBidi" w:eastAsia="Times New Roman" w:hAnsiTheme="majorBidi" w:cstheme="majorBidi"/>
          <w:color w:val="000000"/>
          <w:sz w:val="24"/>
          <w:szCs w:val="24"/>
          <w:lang w:eastAsia="it-IT"/>
        </w:rPr>
        <w:t>it; or</w:t>
      </w:r>
      <w:r w:rsidRPr="00F64509">
        <w:rPr>
          <w:rFonts w:asciiTheme="majorBidi" w:eastAsia="Times New Roman" w:hAnsiTheme="majorBidi" w:cstheme="majorBidi"/>
          <w:color w:val="000000"/>
          <w:sz w:val="24"/>
          <w:szCs w:val="24"/>
          <w:lang w:eastAsia="it-IT"/>
        </w:rPr>
        <w:t xml:space="preserve"> </w:t>
      </w:r>
      <w:r w:rsidR="00AE6BCF" w:rsidRPr="00F64509">
        <w:rPr>
          <w:rFonts w:asciiTheme="majorBidi" w:eastAsia="Times New Roman" w:hAnsiTheme="majorBidi" w:cstheme="majorBidi"/>
          <w:color w:val="000000"/>
          <w:sz w:val="24"/>
          <w:szCs w:val="24"/>
          <w:lang w:eastAsia="it-IT"/>
        </w:rPr>
        <w:t xml:space="preserve">else, we may </w:t>
      </w:r>
      <w:r w:rsidRPr="00F64509">
        <w:rPr>
          <w:rFonts w:asciiTheme="majorBidi" w:eastAsia="Times New Roman" w:hAnsiTheme="majorBidi" w:cstheme="majorBidi"/>
          <w:color w:val="000000"/>
          <w:sz w:val="24"/>
          <w:szCs w:val="24"/>
          <w:lang w:eastAsia="it-IT"/>
        </w:rPr>
        <w:t xml:space="preserve">be viscerally committed to it and even enact it in our life by behaving in keeping with it. None of this means, however, that we are epistemically and hence rationally within our rights in doing so. </w:t>
      </w:r>
    </w:p>
    <w:p w14:paraId="7F1FA071" w14:textId="78326744" w:rsidR="004C7C7D" w:rsidRPr="00301352" w:rsidRDefault="00FA01AD"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A</w:t>
      </w:r>
      <w:r w:rsidR="00AE6BCF" w:rsidRPr="00F64509">
        <w:rPr>
          <w:rFonts w:asciiTheme="majorBidi" w:eastAsia="Times New Roman" w:hAnsiTheme="majorBidi" w:cstheme="majorBidi"/>
          <w:color w:val="000000"/>
          <w:sz w:val="24"/>
          <w:szCs w:val="24"/>
          <w:lang w:eastAsia="it-IT"/>
        </w:rPr>
        <w:t>ccording to Coliva,</w:t>
      </w:r>
      <w:r w:rsidR="004C7C7D" w:rsidRPr="00F64509">
        <w:rPr>
          <w:rFonts w:asciiTheme="majorBidi" w:eastAsia="Times New Roman" w:hAnsiTheme="majorBidi" w:cstheme="majorBidi"/>
          <w:color w:val="000000"/>
          <w:sz w:val="24"/>
          <w:szCs w:val="24"/>
          <w:lang w:eastAsia="it-IT"/>
        </w:rPr>
        <w:t xml:space="preserve"> to confront such a challenge, the </w:t>
      </w:r>
      <w:r w:rsidRPr="00F64509">
        <w:rPr>
          <w:rFonts w:asciiTheme="majorBidi" w:eastAsia="Times New Roman" w:hAnsiTheme="majorBidi" w:cstheme="majorBidi"/>
          <w:color w:val="000000"/>
          <w:sz w:val="24"/>
          <w:szCs w:val="24"/>
          <w:lang w:eastAsia="it-IT"/>
        </w:rPr>
        <w:t xml:space="preserve">epistemic </w:t>
      </w:r>
      <w:r w:rsidR="004C7C7D" w:rsidRPr="00F64509">
        <w:rPr>
          <w:rFonts w:asciiTheme="majorBidi" w:eastAsia="Times New Roman" w:hAnsiTheme="majorBidi" w:cstheme="majorBidi"/>
          <w:color w:val="000000"/>
          <w:sz w:val="24"/>
          <w:szCs w:val="24"/>
          <w:lang w:eastAsia="it-IT"/>
        </w:rPr>
        <w:t>rationality of that unjustified and unjustifiable assumption</w:t>
      </w:r>
      <w:r w:rsidRPr="00F64509">
        <w:rPr>
          <w:rFonts w:asciiTheme="majorBidi" w:eastAsia="Times New Roman" w:hAnsiTheme="majorBidi" w:cstheme="majorBidi"/>
          <w:color w:val="000000"/>
          <w:sz w:val="24"/>
          <w:szCs w:val="24"/>
          <w:lang w:eastAsia="it-IT"/>
        </w:rPr>
        <w:t xml:space="preserve"> needs to be redeemed</w:t>
      </w:r>
      <w:r w:rsidR="004C7C7D" w:rsidRPr="00F64509">
        <w:rPr>
          <w:rFonts w:asciiTheme="majorBidi" w:eastAsia="Times New Roman" w:hAnsiTheme="majorBidi" w:cstheme="majorBidi"/>
          <w:color w:val="000000"/>
          <w:sz w:val="24"/>
          <w:szCs w:val="24"/>
          <w:lang w:eastAsia="it-IT"/>
        </w:rPr>
        <w:t xml:space="preserve">. That is where the constitutivist view comes in. In </w:t>
      </w:r>
      <w:r w:rsidR="00AE6BCF" w:rsidRPr="00F64509">
        <w:rPr>
          <w:rFonts w:asciiTheme="majorBidi" w:eastAsia="Times New Roman" w:hAnsiTheme="majorBidi" w:cstheme="majorBidi"/>
          <w:color w:val="000000"/>
          <w:sz w:val="24"/>
          <w:szCs w:val="24"/>
          <w:lang w:eastAsia="it-IT"/>
        </w:rPr>
        <w:t>her</w:t>
      </w:r>
      <w:r w:rsidR="004C7C7D" w:rsidRPr="00F64509">
        <w:rPr>
          <w:rFonts w:asciiTheme="majorBidi" w:eastAsia="Times New Roman" w:hAnsiTheme="majorBidi" w:cstheme="majorBidi"/>
          <w:color w:val="000000"/>
          <w:sz w:val="24"/>
          <w:szCs w:val="24"/>
          <w:lang w:eastAsia="it-IT"/>
        </w:rPr>
        <w:t xml:space="preserve"> view, it is true that </w:t>
      </w:r>
      <w:r w:rsidR="004C7C7D" w:rsidRPr="00F64509">
        <w:rPr>
          <w:rFonts w:asciiTheme="majorBidi" w:hAnsiTheme="majorBidi" w:cstheme="majorBidi"/>
          <w:sz w:val="24"/>
          <w:szCs w:val="24"/>
        </w:rPr>
        <w:t xml:space="preserve">hinges themselves are beyond epistemic appraisal. Yet, </w:t>
      </w:r>
      <w:r w:rsidR="004737DC" w:rsidRPr="00F64509">
        <w:rPr>
          <w:rFonts w:asciiTheme="majorBidi" w:hAnsiTheme="majorBidi" w:cstheme="majorBidi"/>
          <w:sz w:val="24"/>
          <w:szCs w:val="24"/>
        </w:rPr>
        <w:t xml:space="preserve">she also thinks that </w:t>
      </w:r>
      <w:r w:rsidR="004C7C7D" w:rsidRPr="00F64509">
        <w:rPr>
          <w:rFonts w:asciiTheme="majorBidi" w:hAnsiTheme="majorBidi" w:cstheme="majorBidi"/>
          <w:sz w:val="24"/>
          <w:szCs w:val="24"/>
        </w:rPr>
        <w:t xml:space="preserve">we are </w:t>
      </w:r>
      <w:r w:rsidR="004C7C7D" w:rsidRPr="00F64509">
        <w:rPr>
          <w:rFonts w:asciiTheme="majorBidi" w:hAnsiTheme="majorBidi" w:cstheme="majorBidi"/>
          <w:i/>
          <w:iCs/>
          <w:sz w:val="24"/>
          <w:szCs w:val="24"/>
        </w:rPr>
        <w:t>mandated</w:t>
      </w:r>
      <w:r w:rsidR="004C7C7D" w:rsidRPr="00F64509">
        <w:rPr>
          <w:rFonts w:asciiTheme="majorBidi" w:hAnsiTheme="majorBidi" w:cstheme="majorBidi"/>
          <w:sz w:val="24"/>
          <w:szCs w:val="24"/>
        </w:rPr>
        <w:t xml:space="preserve"> by epistemic rationality itself to hold on to them. For they are </w:t>
      </w:r>
      <w:r w:rsidR="004C7C7D" w:rsidRPr="00F64509">
        <w:rPr>
          <w:rFonts w:asciiTheme="majorBidi" w:hAnsiTheme="majorBidi" w:cstheme="majorBidi"/>
          <w:sz w:val="24"/>
          <w:szCs w:val="24"/>
        </w:rPr>
        <w:lastRenderedPageBreak/>
        <w:t>constitutive of the practice of gathering evidence for or against ordinary empirical propositions, which is itself constitutive of epistemic rationality. On a Wittgenstein-inspired epistemology, notions such as the one of epistemic rationality don</w:t>
      </w:r>
      <w:r w:rsidR="00B53A7E" w:rsidRPr="00F64509">
        <w:rPr>
          <w:rFonts w:asciiTheme="majorBidi" w:hAnsiTheme="majorBidi" w:cstheme="majorBidi"/>
          <w:sz w:val="24"/>
          <w:szCs w:val="24"/>
        </w:rPr>
        <w:t>’</w:t>
      </w:r>
      <w:r w:rsidR="004C7C7D" w:rsidRPr="00F64509">
        <w:rPr>
          <w:rFonts w:asciiTheme="majorBidi" w:hAnsiTheme="majorBidi" w:cstheme="majorBidi"/>
          <w:sz w:val="24"/>
          <w:szCs w:val="24"/>
        </w:rPr>
        <w:t>t hang in the air. Rather, they depend on human practice and, in particular, on the practice of forming, assessing and withdrawing from beliefs about physical objects on the basis of one</w:t>
      </w:r>
      <w:r w:rsidR="00B53A7E" w:rsidRPr="00F64509">
        <w:rPr>
          <w:rFonts w:asciiTheme="majorBidi" w:hAnsiTheme="majorBidi" w:cstheme="majorBidi"/>
          <w:sz w:val="24"/>
          <w:szCs w:val="24"/>
        </w:rPr>
        <w:t>’</w:t>
      </w:r>
      <w:r w:rsidR="004C7C7D" w:rsidRPr="00F64509">
        <w:rPr>
          <w:rFonts w:asciiTheme="majorBidi" w:hAnsiTheme="majorBidi" w:cstheme="majorBidi"/>
          <w:sz w:val="24"/>
          <w:szCs w:val="24"/>
        </w:rPr>
        <w:t xml:space="preserve">s perceptual evidence. Hence, either a Humean skeptic is a skeptic about epistemic rationality itself, or else, if </w:t>
      </w:r>
      <w:r w:rsidR="00FF04FD" w:rsidRPr="00F64509">
        <w:rPr>
          <w:rFonts w:asciiTheme="majorBidi" w:hAnsiTheme="majorBidi" w:cstheme="majorBidi"/>
          <w:sz w:val="24"/>
          <w:szCs w:val="24"/>
        </w:rPr>
        <w:t>they are</w:t>
      </w:r>
      <w:r w:rsidR="004C7C7D" w:rsidRPr="00F64509">
        <w:rPr>
          <w:rFonts w:asciiTheme="majorBidi" w:hAnsiTheme="majorBidi" w:cstheme="majorBidi"/>
          <w:sz w:val="24"/>
          <w:szCs w:val="24"/>
        </w:rPr>
        <w:t xml:space="preserve"> merely a skeptic about a class of targeted propositions, like hinges, </w:t>
      </w:r>
      <w:r w:rsidR="00FF04FD" w:rsidRPr="00F64509">
        <w:rPr>
          <w:rFonts w:asciiTheme="majorBidi" w:hAnsiTheme="majorBidi" w:cstheme="majorBidi"/>
          <w:sz w:val="24"/>
          <w:szCs w:val="24"/>
        </w:rPr>
        <w:t>they</w:t>
      </w:r>
      <w:r w:rsidR="004C7C7D" w:rsidRPr="00F64509">
        <w:rPr>
          <w:rFonts w:asciiTheme="majorBidi" w:hAnsiTheme="majorBidi" w:cstheme="majorBidi"/>
          <w:sz w:val="24"/>
          <w:szCs w:val="24"/>
        </w:rPr>
        <w:t xml:space="preserve"> won</w:t>
      </w:r>
      <w:r w:rsidR="00B53A7E" w:rsidRPr="00F64509">
        <w:rPr>
          <w:rFonts w:asciiTheme="majorBidi" w:hAnsiTheme="majorBidi" w:cstheme="majorBidi"/>
          <w:sz w:val="24"/>
          <w:szCs w:val="24"/>
        </w:rPr>
        <w:t>’</w:t>
      </w:r>
      <w:r w:rsidR="004C7C7D" w:rsidRPr="00F64509">
        <w:rPr>
          <w:rFonts w:asciiTheme="majorBidi" w:hAnsiTheme="majorBidi" w:cstheme="majorBidi"/>
          <w:sz w:val="24"/>
          <w:szCs w:val="24"/>
        </w:rPr>
        <w:t>t be allowed to conclude that they fall beyond epistemic rationality. For, though un</w:t>
      </w:r>
      <w:r w:rsidR="00AE6BCF" w:rsidRPr="00F64509">
        <w:rPr>
          <w:rFonts w:asciiTheme="majorBidi" w:hAnsiTheme="majorBidi" w:cstheme="majorBidi"/>
          <w:sz w:val="24"/>
          <w:szCs w:val="24"/>
        </w:rPr>
        <w:t>justifi</w:t>
      </w:r>
      <w:r w:rsidR="004C7C7D" w:rsidRPr="00F64509">
        <w:rPr>
          <w:rFonts w:asciiTheme="majorBidi" w:hAnsiTheme="majorBidi" w:cstheme="majorBidi"/>
          <w:sz w:val="24"/>
          <w:szCs w:val="24"/>
        </w:rPr>
        <w:t xml:space="preserve">able, </w:t>
      </w:r>
      <w:r w:rsidR="00FF04FD" w:rsidRPr="00F64509">
        <w:rPr>
          <w:rFonts w:asciiTheme="majorBidi" w:hAnsiTheme="majorBidi" w:cstheme="majorBidi"/>
          <w:sz w:val="24"/>
          <w:szCs w:val="24"/>
        </w:rPr>
        <w:t>hinges</w:t>
      </w:r>
      <w:r w:rsidR="004C7C7D" w:rsidRPr="00F64509">
        <w:rPr>
          <w:rFonts w:asciiTheme="majorBidi" w:hAnsiTheme="majorBidi" w:cstheme="majorBidi"/>
          <w:sz w:val="24"/>
          <w:szCs w:val="24"/>
        </w:rPr>
        <w:t xml:space="preserve"> are part of epistemic rationality as they are its constitutive elements. To exclude them from epistemic rationality would then be a categorial mistake just like the mistake of excluding rules from a game simply because they aren</w:t>
      </w:r>
      <w:r w:rsidR="00B53A7E" w:rsidRPr="00F64509">
        <w:rPr>
          <w:rFonts w:asciiTheme="majorBidi" w:hAnsiTheme="majorBidi" w:cstheme="majorBidi"/>
          <w:sz w:val="24"/>
          <w:szCs w:val="24"/>
        </w:rPr>
        <w:t>’</w:t>
      </w:r>
      <w:r w:rsidR="004C7C7D" w:rsidRPr="00F64509">
        <w:rPr>
          <w:rFonts w:asciiTheme="majorBidi" w:hAnsiTheme="majorBidi" w:cstheme="majorBidi"/>
          <w:sz w:val="24"/>
          <w:szCs w:val="24"/>
        </w:rPr>
        <w:t xml:space="preserve">t moves </w:t>
      </w:r>
      <w:r w:rsidR="004C7C7D" w:rsidRPr="00F64509">
        <w:rPr>
          <w:rFonts w:asciiTheme="majorBidi" w:hAnsiTheme="majorBidi" w:cstheme="majorBidi"/>
          <w:i/>
          <w:sz w:val="24"/>
          <w:szCs w:val="24"/>
        </w:rPr>
        <w:t>within</w:t>
      </w:r>
      <w:r w:rsidR="004C7C7D" w:rsidRPr="00F64509">
        <w:rPr>
          <w:rFonts w:asciiTheme="majorBidi" w:hAnsiTheme="majorBidi" w:cstheme="majorBidi"/>
          <w:sz w:val="24"/>
          <w:szCs w:val="24"/>
        </w:rPr>
        <w:t xml:space="preserve"> the game. The correct notion of epistemic rationality is therefore the following, extended one:</w:t>
      </w:r>
    </w:p>
    <w:p w14:paraId="6C5A0554" w14:textId="40B0977C" w:rsidR="004C7C7D" w:rsidRPr="00301352" w:rsidRDefault="004C7C7D" w:rsidP="00301352">
      <w:pPr>
        <w:spacing w:line="480" w:lineRule="auto"/>
        <w:ind w:left="720"/>
        <w:jc w:val="both"/>
        <w:rPr>
          <w:rFonts w:asciiTheme="majorBidi" w:hAnsiTheme="majorBidi" w:cstheme="majorBidi"/>
          <w:sz w:val="24"/>
          <w:szCs w:val="24"/>
          <w:lang w:val="en-GB"/>
        </w:rPr>
      </w:pPr>
      <w:r w:rsidRPr="00F64509">
        <w:rPr>
          <w:rFonts w:asciiTheme="majorBidi" w:hAnsiTheme="majorBidi" w:cstheme="majorBidi"/>
          <w:b/>
          <w:bCs/>
          <w:sz w:val="24"/>
          <w:szCs w:val="24"/>
          <w:lang w:val="en-GB"/>
        </w:rPr>
        <w:t>Epistemic Rationality</w:t>
      </w:r>
      <w:r w:rsidRPr="00F64509">
        <w:rPr>
          <w:rFonts w:asciiTheme="majorBidi" w:hAnsiTheme="majorBidi" w:cstheme="majorBidi"/>
          <w:b/>
          <w:bCs/>
          <w:sz w:val="24"/>
          <w:szCs w:val="24"/>
          <w:vertAlign w:val="subscript"/>
          <w:lang w:val="en-GB"/>
        </w:rPr>
        <w:t>Ext</w:t>
      </w:r>
      <w:r w:rsidRPr="00F64509">
        <w:rPr>
          <w:rFonts w:asciiTheme="majorBidi" w:hAnsiTheme="majorBidi" w:cstheme="majorBidi"/>
          <w:sz w:val="24"/>
          <w:szCs w:val="24"/>
          <w:lang w:val="en-GB"/>
        </w:rPr>
        <w:t xml:space="preserve">: a proposition is epistemically </w:t>
      </w:r>
      <w:r w:rsidR="00FA01AD" w:rsidRPr="00F64509">
        <w:rPr>
          <w:rFonts w:asciiTheme="majorBidi" w:hAnsiTheme="majorBidi" w:cstheme="majorBidi"/>
          <w:sz w:val="24"/>
          <w:szCs w:val="24"/>
          <w:lang w:val="en-GB"/>
        </w:rPr>
        <w:t xml:space="preserve">rationally </w:t>
      </w:r>
      <w:r w:rsidRPr="00F64509">
        <w:rPr>
          <w:rFonts w:asciiTheme="majorBidi" w:hAnsiTheme="majorBidi" w:cstheme="majorBidi"/>
          <w:sz w:val="24"/>
          <w:szCs w:val="24"/>
          <w:lang w:val="en-GB"/>
        </w:rPr>
        <w:t xml:space="preserve">held if and only if either there is a (evidential) justification for it, or, while being unjustifiable, it is </w:t>
      </w:r>
      <w:r w:rsidR="009D36CD" w:rsidRPr="00F64509">
        <w:rPr>
          <w:rFonts w:asciiTheme="majorBidi" w:hAnsiTheme="majorBidi" w:cstheme="majorBidi"/>
          <w:sz w:val="24"/>
          <w:szCs w:val="24"/>
          <w:lang w:val="en-GB"/>
        </w:rPr>
        <w:t>constitutive of</w:t>
      </w:r>
      <w:r w:rsidRPr="00F64509">
        <w:rPr>
          <w:rFonts w:asciiTheme="majorBidi" w:hAnsiTheme="majorBidi" w:cstheme="majorBidi"/>
          <w:sz w:val="24"/>
          <w:szCs w:val="24"/>
          <w:lang w:val="en-GB"/>
        </w:rPr>
        <w:t xml:space="preserve"> epistemic justifications.</w:t>
      </w:r>
      <w:r w:rsidRPr="00F64509">
        <w:rPr>
          <w:rStyle w:val="FootnoteReference"/>
          <w:rFonts w:asciiTheme="majorBidi" w:hAnsiTheme="majorBidi" w:cstheme="majorBidi"/>
          <w:sz w:val="24"/>
          <w:szCs w:val="24"/>
          <w:lang w:val="en-GB"/>
        </w:rPr>
        <w:footnoteReference w:id="28"/>
      </w:r>
    </w:p>
    <w:p w14:paraId="03AC48DF" w14:textId="51B04C95" w:rsidR="004C7C7D" w:rsidRPr="00F64509" w:rsidRDefault="004C7C7D" w:rsidP="00301352">
      <w:pPr>
        <w:spacing w:line="480" w:lineRule="auto"/>
        <w:jc w:val="both"/>
        <w:rPr>
          <w:rFonts w:asciiTheme="majorBidi" w:hAnsiTheme="majorBidi" w:cstheme="majorBidi"/>
          <w:sz w:val="24"/>
          <w:szCs w:val="24"/>
        </w:rPr>
      </w:pPr>
      <w:r w:rsidRPr="00F64509">
        <w:rPr>
          <w:rFonts w:asciiTheme="majorBidi" w:hAnsiTheme="majorBidi" w:cstheme="majorBidi"/>
          <w:sz w:val="24"/>
          <w:szCs w:val="24"/>
        </w:rPr>
        <w:t xml:space="preserve">The skeptical mistake would thus reside in </w:t>
      </w:r>
      <w:r w:rsidR="00FF04FD" w:rsidRPr="00F64509">
        <w:rPr>
          <w:rFonts w:asciiTheme="majorBidi" w:hAnsiTheme="majorBidi" w:cstheme="majorBidi"/>
          <w:sz w:val="24"/>
          <w:szCs w:val="24"/>
        </w:rPr>
        <w:t>holding on</w:t>
      </w:r>
      <w:r w:rsidRPr="00F64509">
        <w:rPr>
          <w:rFonts w:asciiTheme="majorBidi" w:hAnsiTheme="majorBidi" w:cstheme="majorBidi"/>
          <w:sz w:val="24"/>
          <w:szCs w:val="24"/>
        </w:rPr>
        <w:t xml:space="preserve"> to too narrow a notion of epistemic rationality, which confines it only to evidentially </w:t>
      </w:r>
      <w:r w:rsidR="00BC3D85" w:rsidRPr="00F64509">
        <w:rPr>
          <w:rFonts w:asciiTheme="majorBidi" w:hAnsiTheme="majorBidi" w:cstheme="majorBidi"/>
          <w:sz w:val="24"/>
          <w:szCs w:val="24"/>
        </w:rPr>
        <w:t>justified</w:t>
      </w:r>
      <w:r w:rsidRPr="00F64509">
        <w:rPr>
          <w:rFonts w:asciiTheme="majorBidi" w:hAnsiTheme="majorBidi" w:cstheme="majorBidi"/>
          <w:sz w:val="24"/>
          <w:szCs w:val="24"/>
        </w:rPr>
        <w:t xml:space="preserve"> propositions. Moreover, it would depend on a misconception of the structure of justification and knowledge, which requires them to spring only from more basic, yet similarly justified or even known propositions. This view can be defined as follows:</w:t>
      </w:r>
    </w:p>
    <w:p w14:paraId="0760F208" w14:textId="7376D67A" w:rsidR="009D36CD" w:rsidRPr="00F64509" w:rsidRDefault="004C7C7D" w:rsidP="00301352">
      <w:pPr>
        <w:spacing w:line="480" w:lineRule="auto"/>
        <w:ind w:left="720"/>
        <w:jc w:val="both"/>
        <w:rPr>
          <w:rFonts w:asciiTheme="majorBidi" w:hAnsiTheme="majorBidi" w:cstheme="majorBidi"/>
          <w:sz w:val="24"/>
          <w:szCs w:val="24"/>
          <w:lang w:val="en-GB"/>
        </w:rPr>
      </w:pPr>
      <w:r w:rsidRPr="00F64509">
        <w:rPr>
          <w:rFonts w:asciiTheme="majorBidi" w:hAnsiTheme="majorBidi" w:cstheme="majorBidi"/>
          <w:b/>
          <w:bCs/>
          <w:sz w:val="24"/>
          <w:szCs w:val="24"/>
          <w:lang w:val="en-GB"/>
        </w:rPr>
        <w:t>Epistemic Rationality</w:t>
      </w:r>
      <w:r w:rsidRPr="00F64509">
        <w:rPr>
          <w:rFonts w:asciiTheme="majorBidi" w:hAnsiTheme="majorBidi" w:cstheme="majorBidi"/>
          <w:b/>
          <w:bCs/>
          <w:sz w:val="24"/>
          <w:szCs w:val="24"/>
          <w:vertAlign w:val="subscript"/>
          <w:lang w:val="en-GB"/>
        </w:rPr>
        <w:t>sk</w:t>
      </w:r>
      <w:r w:rsidRPr="00F64509">
        <w:rPr>
          <w:rFonts w:asciiTheme="majorBidi" w:hAnsiTheme="majorBidi" w:cstheme="majorBidi"/>
          <w:sz w:val="24"/>
          <w:szCs w:val="24"/>
          <w:lang w:val="en-GB"/>
        </w:rPr>
        <w:t>: a proposition is epistemically rationally held if and only if there is a (evidential) justification for it.</w:t>
      </w:r>
    </w:p>
    <w:p w14:paraId="1C5CB6A2" w14:textId="6A3ED9A6" w:rsidR="004C7C7D" w:rsidRPr="00F64509" w:rsidRDefault="004737DC" w:rsidP="00F64509">
      <w:pPr>
        <w:spacing w:line="480" w:lineRule="auto"/>
        <w:jc w:val="both"/>
        <w:rPr>
          <w:rFonts w:asciiTheme="majorBidi" w:hAnsiTheme="majorBidi" w:cstheme="majorBidi"/>
          <w:sz w:val="24"/>
          <w:szCs w:val="24"/>
          <w:lang w:val="en-GB"/>
        </w:rPr>
      </w:pPr>
      <w:r w:rsidRPr="00F64509">
        <w:rPr>
          <w:rFonts w:asciiTheme="majorBidi" w:hAnsiTheme="majorBidi" w:cstheme="majorBidi"/>
          <w:sz w:val="24"/>
          <w:szCs w:val="24"/>
          <w:lang w:val="en-GB"/>
        </w:rPr>
        <w:lastRenderedPageBreak/>
        <w:t>Finally, i</w:t>
      </w:r>
      <w:r w:rsidR="009D36CD" w:rsidRPr="00F64509">
        <w:rPr>
          <w:rFonts w:asciiTheme="majorBidi" w:hAnsiTheme="majorBidi" w:cstheme="majorBidi"/>
          <w:sz w:val="24"/>
          <w:szCs w:val="24"/>
          <w:lang w:val="en-GB"/>
        </w:rPr>
        <w:t>f</w:t>
      </w:r>
      <w:r w:rsidRPr="00F64509">
        <w:rPr>
          <w:rFonts w:asciiTheme="majorBidi" w:hAnsiTheme="majorBidi" w:cstheme="majorBidi"/>
          <w:sz w:val="24"/>
          <w:szCs w:val="24"/>
          <w:lang w:val="en-GB"/>
        </w:rPr>
        <w:t xml:space="preserve"> a Humean </w:t>
      </w:r>
      <w:r w:rsidR="00335DC7" w:rsidRPr="00F64509">
        <w:rPr>
          <w:rFonts w:asciiTheme="majorBidi" w:hAnsiTheme="majorBidi" w:cstheme="majorBidi"/>
          <w:sz w:val="24"/>
          <w:szCs w:val="24"/>
          <w:lang w:val="en-GB"/>
        </w:rPr>
        <w:t>sceptic</w:t>
      </w:r>
      <w:r w:rsidRPr="00F64509">
        <w:rPr>
          <w:rFonts w:asciiTheme="majorBidi" w:hAnsiTheme="majorBidi" w:cstheme="majorBidi"/>
          <w:sz w:val="24"/>
          <w:szCs w:val="24"/>
          <w:lang w:val="en-GB"/>
        </w:rPr>
        <w:t xml:space="preserve"> were not a </w:t>
      </w:r>
      <w:r w:rsidR="00335DC7" w:rsidRPr="00F64509">
        <w:rPr>
          <w:rFonts w:asciiTheme="majorBidi" w:hAnsiTheme="majorBidi" w:cstheme="majorBidi"/>
          <w:sz w:val="24"/>
          <w:szCs w:val="24"/>
          <w:lang w:val="en-GB"/>
        </w:rPr>
        <w:t>sceptic</w:t>
      </w:r>
      <w:r w:rsidRPr="00F64509">
        <w:rPr>
          <w:rFonts w:asciiTheme="majorBidi" w:hAnsiTheme="majorBidi" w:cstheme="majorBidi"/>
          <w:sz w:val="24"/>
          <w:szCs w:val="24"/>
          <w:lang w:val="en-GB"/>
        </w:rPr>
        <w:t xml:space="preserve"> about the practice of forming, assessing, and withdrawing </w:t>
      </w:r>
      <w:r w:rsidR="00FF04FD" w:rsidRPr="00F64509">
        <w:rPr>
          <w:rFonts w:asciiTheme="majorBidi" w:hAnsiTheme="majorBidi" w:cstheme="majorBidi"/>
          <w:sz w:val="24"/>
          <w:szCs w:val="24"/>
          <w:lang w:val="en-GB"/>
        </w:rPr>
        <w:t xml:space="preserve">from </w:t>
      </w:r>
      <w:r w:rsidRPr="00F64509">
        <w:rPr>
          <w:rFonts w:asciiTheme="majorBidi" w:hAnsiTheme="majorBidi" w:cstheme="majorBidi"/>
          <w:sz w:val="24"/>
          <w:szCs w:val="24"/>
          <w:lang w:val="en-GB"/>
        </w:rPr>
        <w:t>ordinary empirical beliefs based on one</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s sensory experience, but merely about its hinges, they would be guilty of not preserving the harmony between the practice and its hinges, and would be hard pressed to explain how a practice which rests on a</w:t>
      </w:r>
      <w:r w:rsidR="009D36CD"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rational hinges could </w:t>
      </w:r>
      <w:r w:rsidR="00FF04FD" w:rsidRPr="00F64509">
        <w:rPr>
          <w:rFonts w:asciiTheme="majorBidi" w:hAnsiTheme="majorBidi" w:cstheme="majorBidi"/>
          <w:sz w:val="24"/>
          <w:szCs w:val="24"/>
          <w:lang w:val="en-GB"/>
        </w:rPr>
        <w:t xml:space="preserve">ever </w:t>
      </w:r>
      <w:r w:rsidRPr="00F64509">
        <w:rPr>
          <w:rFonts w:asciiTheme="majorBidi" w:hAnsiTheme="majorBidi" w:cstheme="majorBidi"/>
          <w:sz w:val="24"/>
          <w:szCs w:val="24"/>
          <w:lang w:val="en-GB"/>
        </w:rPr>
        <w:t>be epistemically rational in its turn.</w:t>
      </w:r>
      <w:r w:rsidR="00FF04FD" w:rsidRPr="00F64509">
        <w:rPr>
          <w:rStyle w:val="FootnoteReference"/>
          <w:rFonts w:asciiTheme="majorBidi" w:hAnsiTheme="majorBidi" w:cstheme="majorBidi"/>
          <w:sz w:val="24"/>
          <w:szCs w:val="24"/>
          <w:lang w:val="en-GB"/>
        </w:rPr>
        <w:footnoteReference w:id="29"/>
      </w:r>
    </w:p>
    <w:p w14:paraId="2BD7134F" w14:textId="5F3578DD" w:rsidR="004C7C7D" w:rsidRPr="00F64509" w:rsidRDefault="00BC3D85" w:rsidP="00301352">
      <w:pPr>
        <w:spacing w:line="480" w:lineRule="auto"/>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color w:val="000000"/>
          <w:sz w:val="24"/>
          <w:szCs w:val="24"/>
          <w:lang w:eastAsia="it-IT"/>
        </w:rPr>
        <w:t>According to Coliva,</w:t>
      </w:r>
      <w:r w:rsidR="004C7C7D" w:rsidRPr="00F64509">
        <w:rPr>
          <w:rFonts w:asciiTheme="majorBidi" w:eastAsia="Times New Roman" w:hAnsiTheme="majorBidi" w:cstheme="majorBidi"/>
          <w:color w:val="000000"/>
          <w:sz w:val="24"/>
          <w:szCs w:val="24"/>
          <w:lang w:eastAsia="it-IT"/>
        </w:rPr>
        <w:t xml:space="preserve"> the analogy with games and their constitutive rules, while not itself already present in </w:t>
      </w:r>
      <w:r w:rsidR="004C7C7D" w:rsidRPr="00F64509">
        <w:rPr>
          <w:rFonts w:asciiTheme="majorBidi" w:eastAsia="Times New Roman" w:hAnsiTheme="majorBidi" w:cstheme="majorBidi"/>
          <w:i/>
          <w:iCs/>
          <w:color w:val="000000"/>
          <w:sz w:val="24"/>
          <w:szCs w:val="24"/>
          <w:lang w:eastAsia="it-IT"/>
        </w:rPr>
        <w:t>O</w:t>
      </w:r>
      <w:r w:rsidRPr="00F64509">
        <w:rPr>
          <w:rFonts w:asciiTheme="majorBidi" w:eastAsia="Times New Roman" w:hAnsiTheme="majorBidi" w:cstheme="majorBidi"/>
          <w:i/>
          <w:iCs/>
          <w:color w:val="000000"/>
          <w:sz w:val="24"/>
          <w:szCs w:val="24"/>
          <w:lang w:eastAsia="it-IT"/>
        </w:rPr>
        <w:t xml:space="preserve">n </w:t>
      </w:r>
      <w:r w:rsidR="004C7C7D" w:rsidRPr="00F64509">
        <w:rPr>
          <w:rFonts w:asciiTheme="majorBidi" w:eastAsia="Times New Roman" w:hAnsiTheme="majorBidi" w:cstheme="majorBidi"/>
          <w:i/>
          <w:iCs/>
          <w:color w:val="000000"/>
          <w:sz w:val="24"/>
          <w:szCs w:val="24"/>
          <w:lang w:eastAsia="it-IT"/>
        </w:rPr>
        <w:t>C</w:t>
      </w:r>
      <w:r w:rsidRPr="00F64509">
        <w:rPr>
          <w:rFonts w:asciiTheme="majorBidi" w:eastAsia="Times New Roman" w:hAnsiTheme="majorBidi" w:cstheme="majorBidi"/>
          <w:i/>
          <w:iCs/>
          <w:color w:val="000000"/>
          <w:sz w:val="24"/>
          <w:szCs w:val="24"/>
          <w:lang w:eastAsia="it-IT"/>
        </w:rPr>
        <w:t>ertainty</w:t>
      </w:r>
      <w:r w:rsidR="004C7C7D" w:rsidRPr="00F64509">
        <w:rPr>
          <w:rFonts w:asciiTheme="majorBidi" w:eastAsia="Times New Roman" w:hAnsiTheme="majorBidi" w:cstheme="majorBidi"/>
          <w:color w:val="000000"/>
          <w:sz w:val="24"/>
          <w:szCs w:val="24"/>
          <w:lang w:eastAsia="it-IT"/>
        </w:rPr>
        <w:t>, is a move in keeping with Wittgenstein</w:t>
      </w:r>
      <w:r w:rsidR="00B53A7E" w:rsidRPr="00F64509">
        <w:rPr>
          <w:rFonts w:asciiTheme="majorBidi" w:eastAsia="Times New Roman" w:hAnsiTheme="majorBidi" w:cstheme="majorBidi"/>
          <w:color w:val="000000"/>
          <w:sz w:val="24"/>
          <w:szCs w:val="24"/>
          <w:lang w:eastAsia="it-IT"/>
        </w:rPr>
        <w:t>’</w:t>
      </w:r>
      <w:r w:rsidR="004C7C7D" w:rsidRPr="00F64509">
        <w:rPr>
          <w:rFonts w:asciiTheme="majorBidi" w:eastAsia="Times New Roman" w:hAnsiTheme="majorBidi" w:cstheme="majorBidi"/>
          <w:color w:val="000000"/>
          <w:sz w:val="24"/>
          <w:szCs w:val="24"/>
          <w:lang w:eastAsia="it-IT"/>
        </w:rPr>
        <w:t xml:space="preserve">s approach and </w:t>
      </w:r>
      <w:r w:rsidR="00FF04FD" w:rsidRPr="00F64509">
        <w:rPr>
          <w:rFonts w:asciiTheme="majorBidi" w:eastAsia="Times New Roman" w:hAnsiTheme="majorBidi" w:cstheme="majorBidi"/>
          <w:color w:val="000000"/>
          <w:sz w:val="24"/>
          <w:szCs w:val="24"/>
          <w:lang w:eastAsia="it-IT"/>
        </w:rPr>
        <w:t xml:space="preserve">with his </w:t>
      </w:r>
      <w:r w:rsidR="004C7C7D" w:rsidRPr="00F64509">
        <w:rPr>
          <w:rFonts w:asciiTheme="majorBidi" w:eastAsia="Times New Roman" w:hAnsiTheme="majorBidi" w:cstheme="majorBidi"/>
          <w:color w:val="000000"/>
          <w:sz w:val="24"/>
          <w:szCs w:val="24"/>
          <w:lang w:eastAsia="it-IT"/>
        </w:rPr>
        <w:t xml:space="preserve">claim that hinges play a rule-like role (OC 95). Of course, contrary to Wittgenstein, </w:t>
      </w:r>
      <w:r w:rsidRPr="00F64509">
        <w:rPr>
          <w:rFonts w:asciiTheme="majorBidi" w:eastAsia="Times New Roman" w:hAnsiTheme="majorBidi" w:cstheme="majorBidi"/>
          <w:color w:val="000000"/>
          <w:sz w:val="24"/>
          <w:szCs w:val="24"/>
          <w:lang w:eastAsia="it-IT"/>
        </w:rPr>
        <w:t>Coliva is</w:t>
      </w:r>
      <w:r w:rsidR="004C7C7D" w:rsidRPr="00F64509">
        <w:rPr>
          <w:rFonts w:asciiTheme="majorBidi" w:eastAsia="Times New Roman" w:hAnsiTheme="majorBidi" w:cstheme="majorBidi"/>
          <w:color w:val="000000"/>
          <w:sz w:val="24"/>
          <w:szCs w:val="24"/>
          <w:lang w:eastAsia="it-IT"/>
        </w:rPr>
        <w:t xml:space="preserve"> not capitalizing on their semantic discontinuity with respect to ordinary empirical propositions, but </w:t>
      </w:r>
      <w:r w:rsidRPr="00F64509">
        <w:rPr>
          <w:rFonts w:asciiTheme="majorBidi" w:eastAsia="Times New Roman" w:hAnsiTheme="majorBidi" w:cstheme="majorBidi"/>
          <w:color w:val="000000"/>
          <w:sz w:val="24"/>
          <w:szCs w:val="24"/>
          <w:lang w:eastAsia="it-IT"/>
        </w:rPr>
        <w:t xml:space="preserve">rather </w:t>
      </w:r>
      <w:r w:rsidR="004C7C7D" w:rsidRPr="00F64509">
        <w:rPr>
          <w:rFonts w:asciiTheme="majorBidi" w:eastAsia="Times New Roman" w:hAnsiTheme="majorBidi" w:cstheme="majorBidi"/>
          <w:color w:val="000000"/>
          <w:sz w:val="24"/>
          <w:szCs w:val="24"/>
          <w:lang w:eastAsia="it-IT"/>
        </w:rPr>
        <w:t>insisting on their epistemic discontinuity, just like Wittgenstein does, and on their rule-like role with respect to rationality. For to claim that hinges are constitutive of epistemic rationality is to claim that they function as its constitutive rules.</w:t>
      </w:r>
    </w:p>
    <w:p w14:paraId="2C496C41" w14:textId="77777777" w:rsidR="00752FD0" w:rsidRPr="00F64509" w:rsidRDefault="00752FD0" w:rsidP="00F64509">
      <w:pPr>
        <w:spacing w:line="480" w:lineRule="auto"/>
        <w:jc w:val="both"/>
        <w:textAlignment w:val="baseline"/>
        <w:rPr>
          <w:rFonts w:asciiTheme="majorBidi" w:eastAsia="Times New Roman" w:hAnsiTheme="majorBidi" w:cstheme="majorBidi"/>
          <w:color w:val="000000"/>
          <w:sz w:val="24"/>
          <w:szCs w:val="24"/>
          <w:lang w:eastAsia="it-IT"/>
        </w:rPr>
      </w:pPr>
    </w:p>
    <w:p w14:paraId="7E115D44" w14:textId="2ED86672" w:rsidR="00176DA6" w:rsidRPr="00F64509" w:rsidRDefault="00176DA6" w:rsidP="00F64509">
      <w:pPr>
        <w:pStyle w:val="ListParagraph"/>
        <w:numPr>
          <w:ilvl w:val="0"/>
          <w:numId w:val="2"/>
        </w:numPr>
        <w:spacing w:line="480" w:lineRule="auto"/>
        <w:contextualSpacing w:val="0"/>
        <w:jc w:val="both"/>
        <w:textAlignment w:val="baseline"/>
        <w:rPr>
          <w:rFonts w:asciiTheme="majorBidi" w:eastAsia="Times New Roman" w:hAnsiTheme="majorBidi" w:cstheme="majorBidi"/>
          <w:color w:val="000000"/>
          <w:sz w:val="24"/>
          <w:szCs w:val="24"/>
          <w:lang w:eastAsia="it-IT"/>
        </w:rPr>
      </w:pPr>
      <w:r w:rsidRPr="00F64509">
        <w:rPr>
          <w:rFonts w:asciiTheme="majorBidi" w:eastAsia="Times New Roman" w:hAnsiTheme="majorBidi" w:cstheme="majorBidi"/>
          <w:b/>
          <w:color w:val="000000"/>
          <w:sz w:val="24"/>
          <w:szCs w:val="24"/>
          <w:lang w:val="en-GB" w:eastAsia="it-IT"/>
        </w:rPr>
        <w:t>Conclusion</w:t>
      </w:r>
    </w:p>
    <w:p w14:paraId="055CFBBF" w14:textId="1AED694B" w:rsidR="00176DA6" w:rsidRPr="00F64509" w:rsidRDefault="00176DA6" w:rsidP="00F64509">
      <w:pPr>
        <w:spacing w:line="480" w:lineRule="auto"/>
        <w:jc w:val="both"/>
        <w:textAlignment w:val="baseline"/>
        <w:rPr>
          <w:rFonts w:asciiTheme="majorBidi" w:eastAsia="Times New Roman" w:hAnsiTheme="majorBidi" w:cstheme="majorBidi"/>
          <w:color w:val="000000"/>
          <w:sz w:val="24"/>
          <w:szCs w:val="24"/>
          <w:lang w:val="en-GB" w:eastAsia="it-IT"/>
        </w:rPr>
      </w:pPr>
      <w:r w:rsidRPr="00F64509">
        <w:rPr>
          <w:rFonts w:asciiTheme="majorBidi" w:eastAsia="Times New Roman" w:hAnsiTheme="majorBidi" w:cstheme="majorBidi"/>
          <w:color w:val="000000"/>
          <w:sz w:val="24"/>
          <w:szCs w:val="24"/>
          <w:lang w:val="en-GB" w:eastAsia="it-IT"/>
        </w:rPr>
        <w:t xml:space="preserve">Whichever </w:t>
      </w:r>
      <w:r w:rsidR="00FF04FD" w:rsidRPr="00F64509">
        <w:rPr>
          <w:rFonts w:asciiTheme="majorBidi" w:eastAsia="Times New Roman" w:hAnsiTheme="majorBidi" w:cstheme="majorBidi"/>
          <w:color w:val="000000"/>
          <w:sz w:val="24"/>
          <w:szCs w:val="24"/>
          <w:lang w:val="en-GB" w:eastAsia="it-IT"/>
        </w:rPr>
        <w:t xml:space="preserve">kind of </w:t>
      </w:r>
      <w:r w:rsidRPr="00F64509">
        <w:rPr>
          <w:rFonts w:asciiTheme="majorBidi" w:eastAsia="Times New Roman" w:hAnsiTheme="majorBidi" w:cstheme="majorBidi"/>
          <w:color w:val="000000"/>
          <w:sz w:val="24"/>
          <w:szCs w:val="24"/>
          <w:lang w:val="en-GB" w:eastAsia="it-IT"/>
        </w:rPr>
        <w:t xml:space="preserve">hinge epistemology one might </w:t>
      </w:r>
      <w:r w:rsidR="00335DC7" w:rsidRPr="00F64509">
        <w:rPr>
          <w:rFonts w:asciiTheme="majorBidi" w:eastAsia="Times New Roman" w:hAnsiTheme="majorBidi" w:cstheme="majorBidi"/>
          <w:color w:val="000000"/>
          <w:sz w:val="24"/>
          <w:szCs w:val="24"/>
          <w:lang w:val="en-GB" w:eastAsia="it-IT"/>
        </w:rPr>
        <w:t>favour</w:t>
      </w:r>
      <w:r w:rsidR="003F004A" w:rsidRPr="00F64509">
        <w:rPr>
          <w:rFonts w:asciiTheme="majorBidi" w:eastAsia="Times New Roman" w:hAnsiTheme="majorBidi" w:cstheme="majorBidi"/>
          <w:color w:val="000000"/>
          <w:sz w:val="24"/>
          <w:szCs w:val="24"/>
          <w:lang w:val="en-GB" w:eastAsia="it-IT"/>
        </w:rPr>
        <w:sym w:font="Symbol" w:char="F0BE"/>
      </w:r>
      <w:r w:rsidRPr="00F64509">
        <w:rPr>
          <w:rFonts w:asciiTheme="majorBidi" w:eastAsia="Times New Roman" w:hAnsiTheme="majorBidi" w:cstheme="majorBidi"/>
          <w:color w:val="000000"/>
          <w:sz w:val="24"/>
          <w:szCs w:val="24"/>
          <w:lang w:val="en-GB" w:eastAsia="it-IT"/>
        </w:rPr>
        <w:t>between Moyal-Sharrock</w:t>
      </w:r>
      <w:r w:rsidR="00B53A7E" w:rsidRPr="00F64509">
        <w:rPr>
          <w:rFonts w:asciiTheme="majorBidi" w:eastAsia="Times New Roman" w:hAnsiTheme="majorBidi" w:cstheme="majorBidi"/>
          <w:color w:val="000000"/>
          <w:sz w:val="24"/>
          <w:szCs w:val="24"/>
          <w:lang w:val="en-GB" w:eastAsia="it-IT"/>
        </w:rPr>
        <w:t>’</w:t>
      </w:r>
      <w:r w:rsidRPr="00F64509">
        <w:rPr>
          <w:rFonts w:asciiTheme="majorBidi" w:eastAsia="Times New Roman" w:hAnsiTheme="majorBidi" w:cstheme="majorBidi"/>
          <w:color w:val="000000"/>
          <w:sz w:val="24"/>
          <w:szCs w:val="24"/>
          <w:lang w:val="en-GB" w:eastAsia="it-IT"/>
        </w:rPr>
        <w:t xml:space="preserve">s </w:t>
      </w:r>
      <w:r w:rsidR="00B2140D" w:rsidRPr="00F64509">
        <w:rPr>
          <w:rFonts w:asciiTheme="majorBidi" w:eastAsia="Times New Roman" w:hAnsiTheme="majorBidi" w:cstheme="majorBidi"/>
          <w:color w:val="000000"/>
          <w:sz w:val="24"/>
          <w:szCs w:val="24"/>
          <w:lang w:val="en-GB" w:eastAsia="it-IT"/>
        </w:rPr>
        <w:t>non</w:t>
      </w:r>
      <w:r w:rsidR="003F004A" w:rsidRPr="00F64509">
        <w:rPr>
          <w:rFonts w:asciiTheme="majorBidi" w:eastAsia="Times New Roman" w:hAnsiTheme="majorBidi" w:cstheme="majorBidi"/>
          <w:color w:val="000000"/>
          <w:sz w:val="24"/>
          <w:szCs w:val="24"/>
          <w:lang w:val="en-GB" w:eastAsia="it-IT"/>
        </w:rPr>
        <w:t>-</w:t>
      </w:r>
      <w:r w:rsidR="00B2140D" w:rsidRPr="00F64509">
        <w:rPr>
          <w:rFonts w:asciiTheme="majorBidi" w:eastAsia="Times New Roman" w:hAnsiTheme="majorBidi" w:cstheme="majorBidi"/>
          <w:color w:val="000000"/>
          <w:sz w:val="24"/>
          <w:szCs w:val="24"/>
          <w:lang w:val="en-GB" w:eastAsia="it-IT"/>
        </w:rPr>
        <w:t>propositional</w:t>
      </w:r>
      <w:r w:rsidRPr="00F64509">
        <w:rPr>
          <w:rFonts w:asciiTheme="majorBidi" w:eastAsia="Times New Roman" w:hAnsiTheme="majorBidi" w:cstheme="majorBidi"/>
          <w:color w:val="000000"/>
          <w:sz w:val="24"/>
          <w:szCs w:val="24"/>
          <w:lang w:val="en-GB" w:eastAsia="it-IT"/>
        </w:rPr>
        <w:t xml:space="preserve"> version, Pritchard</w:t>
      </w:r>
      <w:r w:rsidR="00B53A7E" w:rsidRPr="00F64509">
        <w:rPr>
          <w:rFonts w:asciiTheme="majorBidi" w:eastAsia="Times New Roman" w:hAnsiTheme="majorBidi" w:cstheme="majorBidi"/>
          <w:color w:val="000000"/>
          <w:sz w:val="24"/>
          <w:szCs w:val="24"/>
          <w:lang w:val="en-GB" w:eastAsia="it-IT"/>
        </w:rPr>
        <w:t>’</w:t>
      </w:r>
      <w:r w:rsidRPr="00F64509">
        <w:rPr>
          <w:rFonts w:asciiTheme="majorBidi" w:eastAsia="Times New Roman" w:hAnsiTheme="majorBidi" w:cstheme="majorBidi"/>
          <w:color w:val="000000"/>
          <w:sz w:val="24"/>
          <w:szCs w:val="24"/>
          <w:lang w:val="en-GB" w:eastAsia="it-IT"/>
        </w:rPr>
        <w:t xml:space="preserve">s </w:t>
      </w:r>
      <w:r w:rsidR="00DA1FD2" w:rsidRPr="00F64509">
        <w:rPr>
          <w:rFonts w:asciiTheme="majorBidi" w:eastAsia="Times New Roman" w:hAnsiTheme="majorBidi" w:cstheme="majorBidi"/>
          <w:color w:val="000000"/>
          <w:sz w:val="24"/>
          <w:szCs w:val="24"/>
          <w:lang w:eastAsia="it-IT"/>
        </w:rPr>
        <w:t>visceral hinge commitment</w:t>
      </w:r>
      <w:r w:rsidR="00DA1FD2" w:rsidRPr="00F64509">
        <w:rPr>
          <w:rFonts w:asciiTheme="majorBidi" w:eastAsia="Times New Roman" w:hAnsiTheme="majorBidi" w:cstheme="majorBidi"/>
          <w:b/>
          <w:bCs/>
          <w:color w:val="000000"/>
          <w:sz w:val="24"/>
          <w:szCs w:val="24"/>
          <w:lang w:eastAsia="it-IT"/>
        </w:rPr>
        <w:t xml:space="preserve"> </w:t>
      </w:r>
      <w:r w:rsidRPr="00F64509">
        <w:rPr>
          <w:rFonts w:asciiTheme="majorBidi" w:eastAsia="Times New Roman" w:hAnsiTheme="majorBidi" w:cstheme="majorBidi"/>
          <w:color w:val="000000"/>
          <w:sz w:val="24"/>
          <w:szCs w:val="24"/>
          <w:lang w:val="en-GB" w:eastAsia="it-IT"/>
        </w:rPr>
        <w:t>proposal, or Coliva</w:t>
      </w:r>
      <w:r w:rsidR="00B53A7E" w:rsidRPr="00F64509">
        <w:rPr>
          <w:rFonts w:asciiTheme="majorBidi" w:eastAsia="Times New Roman" w:hAnsiTheme="majorBidi" w:cstheme="majorBidi"/>
          <w:color w:val="000000"/>
          <w:sz w:val="24"/>
          <w:szCs w:val="24"/>
          <w:lang w:val="en-GB" w:eastAsia="it-IT"/>
        </w:rPr>
        <w:t>’</w:t>
      </w:r>
      <w:r w:rsidRPr="00F64509">
        <w:rPr>
          <w:rFonts w:asciiTheme="majorBidi" w:eastAsia="Times New Roman" w:hAnsiTheme="majorBidi" w:cstheme="majorBidi"/>
          <w:color w:val="000000"/>
          <w:sz w:val="24"/>
          <w:szCs w:val="24"/>
          <w:lang w:val="en-GB" w:eastAsia="it-IT"/>
        </w:rPr>
        <w:t>s constitutivist account</w:t>
      </w:r>
      <w:r w:rsidR="003F004A" w:rsidRPr="00F64509">
        <w:rPr>
          <w:rFonts w:asciiTheme="majorBidi" w:eastAsia="Times New Roman" w:hAnsiTheme="majorBidi" w:cstheme="majorBidi"/>
          <w:color w:val="000000"/>
          <w:sz w:val="24"/>
          <w:szCs w:val="24"/>
          <w:lang w:val="en-GB" w:eastAsia="it-IT"/>
        </w:rPr>
        <w:sym w:font="Symbol" w:char="F0BE"/>
      </w:r>
      <w:r w:rsidRPr="00F64509">
        <w:rPr>
          <w:rFonts w:asciiTheme="majorBidi" w:eastAsia="Times New Roman" w:hAnsiTheme="majorBidi" w:cstheme="majorBidi"/>
          <w:color w:val="000000"/>
          <w:sz w:val="24"/>
          <w:szCs w:val="24"/>
          <w:lang w:val="en-GB" w:eastAsia="it-IT"/>
        </w:rPr>
        <w:t>we hope to have shown the interest of pursuing hinge epistemology both in its historical and theoretical dimension, and to have elucidated some of the key issues that anyone doing either or both will have to confront. Whatever the details and differences, we all agree that Wittgenstein</w:t>
      </w:r>
      <w:r w:rsidR="00B53A7E" w:rsidRPr="00F64509">
        <w:rPr>
          <w:rFonts w:asciiTheme="majorBidi" w:eastAsia="Times New Roman" w:hAnsiTheme="majorBidi" w:cstheme="majorBidi"/>
          <w:color w:val="000000"/>
          <w:sz w:val="24"/>
          <w:szCs w:val="24"/>
          <w:lang w:val="en-GB" w:eastAsia="it-IT"/>
        </w:rPr>
        <w:t>’</w:t>
      </w:r>
      <w:r w:rsidRPr="00F64509">
        <w:rPr>
          <w:rFonts w:asciiTheme="majorBidi" w:eastAsia="Times New Roman" w:hAnsiTheme="majorBidi" w:cstheme="majorBidi"/>
          <w:color w:val="000000"/>
          <w:sz w:val="24"/>
          <w:szCs w:val="24"/>
          <w:lang w:val="en-GB" w:eastAsia="it-IT"/>
        </w:rPr>
        <w:t xml:space="preserve">s ideas in </w:t>
      </w:r>
      <w:r w:rsidRPr="00F64509">
        <w:rPr>
          <w:rFonts w:asciiTheme="majorBidi" w:eastAsia="Times New Roman" w:hAnsiTheme="majorBidi" w:cstheme="majorBidi"/>
          <w:i/>
          <w:iCs/>
          <w:color w:val="000000"/>
          <w:sz w:val="24"/>
          <w:szCs w:val="24"/>
          <w:lang w:val="en-GB" w:eastAsia="it-IT"/>
        </w:rPr>
        <w:t>On Certainty</w:t>
      </w:r>
      <w:r w:rsidRPr="00F64509">
        <w:rPr>
          <w:rFonts w:asciiTheme="majorBidi" w:eastAsia="Times New Roman" w:hAnsiTheme="majorBidi" w:cstheme="majorBidi"/>
          <w:color w:val="000000"/>
          <w:sz w:val="24"/>
          <w:szCs w:val="24"/>
          <w:lang w:val="en-GB" w:eastAsia="it-IT"/>
        </w:rPr>
        <w:t xml:space="preserve"> are of profound significance for present-day epistemology and should be properly attended to.</w:t>
      </w:r>
    </w:p>
    <w:p w14:paraId="129D8BC2" w14:textId="3F78EDED" w:rsidR="004C7C7D" w:rsidRPr="00F64509" w:rsidRDefault="004C7C7D" w:rsidP="00F64509">
      <w:pPr>
        <w:spacing w:line="480" w:lineRule="auto"/>
        <w:rPr>
          <w:rFonts w:asciiTheme="majorBidi" w:hAnsiTheme="majorBidi" w:cstheme="majorBidi"/>
          <w:sz w:val="24"/>
          <w:szCs w:val="24"/>
          <w:lang w:val="en-GB"/>
        </w:rPr>
      </w:pPr>
    </w:p>
    <w:p w14:paraId="1115A9D2" w14:textId="21A0258C" w:rsidR="00606D67" w:rsidRPr="00F64509" w:rsidRDefault="00606D67" w:rsidP="00F64509">
      <w:pPr>
        <w:spacing w:line="480" w:lineRule="auto"/>
        <w:rPr>
          <w:rFonts w:asciiTheme="majorBidi" w:hAnsiTheme="majorBidi" w:cstheme="majorBidi"/>
          <w:b/>
          <w:bCs/>
          <w:sz w:val="24"/>
          <w:szCs w:val="24"/>
          <w:lang w:val="en-GB"/>
        </w:rPr>
      </w:pPr>
      <w:r w:rsidRPr="00F64509">
        <w:rPr>
          <w:rFonts w:asciiTheme="majorBidi" w:hAnsiTheme="majorBidi" w:cstheme="majorBidi"/>
          <w:b/>
          <w:bCs/>
          <w:sz w:val="24"/>
          <w:szCs w:val="24"/>
          <w:lang w:val="en-GB"/>
        </w:rPr>
        <w:t>References</w:t>
      </w:r>
    </w:p>
    <w:p w14:paraId="1F6A94F8" w14:textId="10549CBB"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iCs/>
          <w:sz w:val="24"/>
          <w:szCs w:val="24"/>
          <w:bdr w:val="none" w:sz="0" w:space="0" w:color="auto" w:frame="1"/>
        </w:rPr>
      </w:pPr>
      <w:r w:rsidRPr="00F64509">
        <w:rPr>
          <w:rFonts w:asciiTheme="majorBidi" w:hAnsiTheme="majorBidi" w:cstheme="majorBidi"/>
          <w:spacing w:val="4"/>
          <w:sz w:val="24"/>
          <w:szCs w:val="24"/>
          <w:shd w:val="clear" w:color="auto" w:fill="FCFCFC"/>
        </w:rPr>
        <w:t xml:space="preserve">Ashton, N. A. 2019 “The case for a feminist hinge epistemology”, </w:t>
      </w:r>
      <w:r w:rsidRPr="00F64509">
        <w:rPr>
          <w:rFonts w:asciiTheme="majorBidi" w:eastAsia="Times New Roman" w:hAnsiTheme="majorBidi" w:cstheme="majorBidi"/>
          <w:i/>
          <w:iCs/>
          <w:sz w:val="24"/>
          <w:szCs w:val="24"/>
          <w:bdr w:val="none" w:sz="0" w:space="0" w:color="auto" w:frame="1"/>
        </w:rPr>
        <w:t xml:space="preserve">Wittgenstein Studien </w:t>
      </w:r>
      <w:r w:rsidRPr="00F64509">
        <w:rPr>
          <w:rFonts w:asciiTheme="majorBidi" w:eastAsia="Times New Roman" w:hAnsiTheme="majorBidi" w:cstheme="majorBidi"/>
          <w:iCs/>
          <w:sz w:val="24"/>
          <w:szCs w:val="24"/>
          <w:bdr w:val="none" w:sz="0" w:space="0" w:color="auto" w:frame="1"/>
        </w:rPr>
        <w:t>10: 1, pp. 152-164.</w:t>
      </w:r>
    </w:p>
    <w:p w14:paraId="4F32AD67" w14:textId="48C76AD8" w:rsidR="00D66941" w:rsidRPr="00F64509" w:rsidRDefault="00D66941" w:rsidP="00F64509">
      <w:pPr>
        <w:shd w:val="clear" w:color="auto" w:fill="FFFFFF"/>
        <w:spacing w:line="480" w:lineRule="auto"/>
        <w:ind w:left="720" w:hanging="720"/>
        <w:jc w:val="both"/>
        <w:rPr>
          <w:rFonts w:asciiTheme="majorBidi" w:eastAsia="Times New Roman" w:hAnsiTheme="majorBidi" w:cstheme="majorBidi"/>
          <w:iCs/>
          <w:sz w:val="24"/>
          <w:szCs w:val="24"/>
          <w:bdr w:val="none" w:sz="0" w:space="0" w:color="auto" w:frame="1"/>
        </w:rPr>
      </w:pPr>
      <w:r w:rsidRPr="00F64509">
        <w:rPr>
          <w:rFonts w:asciiTheme="majorBidi" w:eastAsia="Times New Roman" w:hAnsiTheme="majorBidi" w:cstheme="majorBidi"/>
          <w:iCs/>
          <w:sz w:val="24"/>
          <w:szCs w:val="24"/>
          <w:bdr w:val="none" w:sz="0" w:space="0" w:color="auto" w:frame="1"/>
        </w:rPr>
        <w:t xml:space="preserve">Ashton, N. A. 2021 </w:t>
      </w:r>
      <w:r w:rsidRPr="00F64509">
        <w:rPr>
          <w:rFonts w:asciiTheme="majorBidi" w:eastAsia="Times New Roman" w:hAnsiTheme="majorBidi" w:cstheme="majorBidi"/>
          <w:sz w:val="24"/>
          <w:szCs w:val="24"/>
        </w:rPr>
        <w:t xml:space="preserve">“Extended rationality and epistemic relativism”, in </w:t>
      </w:r>
      <w:r w:rsidRPr="00F64509">
        <w:rPr>
          <w:rFonts w:asciiTheme="majorBidi" w:eastAsia="Times New Roman" w:hAnsiTheme="majorBidi" w:cstheme="majorBidi"/>
          <w:iCs/>
          <w:sz w:val="24"/>
          <w:szCs w:val="24"/>
        </w:rPr>
        <w:t xml:space="preserve">N. Pedersen and L. Moretti (eds.), </w:t>
      </w:r>
      <w:r w:rsidRPr="00F64509">
        <w:rPr>
          <w:rFonts w:asciiTheme="majorBidi" w:eastAsia="Times New Roman" w:hAnsiTheme="majorBidi" w:cstheme="majorBidi"/>
          <w:i/>
          <w:sz w:val="24"/>
          <w:szCs w:val="24"/>
        </w:rPr>
        <w:t>Non-Evidentialist Epistemology</w:t>
      </w:r>
      <w:r w:rsidRPr="00F64509">
        <w:rPr>
          <w:rFonts w:asciiTheme="majorBidi" w:eastAsia="Times New Roman" w:hAnsiTheme="majorBidi" w:cstheme="majorBidi"/>
          <w:iCs/>
          <w:sz w:val="24"/>
          <w:szCs w:val="24"/>
        </w:rPr>
        <w:t xml:space="preserve">, </w:t>
      </w:r>
      <w:r w:rsidR="003225C4" w:rsidRPr="00F64509">
        <w:rPr>
          <w:rFonts w:asciiTheme="majorBidi" w:eastAsia="Times New Roman" w:hAnsiTheme="majorBidi" w:cstheme="majorBidi"/>
          <w:sz w:val="24"/>
          <w:szCs w:val="24"/>
        </w:rPr>
        <w:t>55-72</w:t>
      </w:r>
      <w:r w:rsidRPr="00F64509">
        <w:rPr>
          <w:rFonts w:asciiTheme="majorBidi" w:eastAsia="Times New Roman" w:hAnsiTheme="majorBidi" w:cstheme="majorBidi"/>
          <w:sz w:val="24"/>
          <w:szCs w:val="24"/>
        </w:rPr>
        <w:t xml:space="preserve">. </w:t>
      </w:r>
      <w:r w:rsidRPr="00F64509">
        <w:rPr>
          <w:rFonts w:asciiTheme="majorBidi" w:eastAsia="Times New Roman" w:hAnsiTheme="majorBidi" w:cstheme="majorBidi"/>
          <w:iCs/>
          <w:sz w:val="24"/>
          <w:szCs w:val="24"/>
        </w:rPr>
        <w:t>Leiden: Brill.</w:t>
      </w:r>
    </w:p>
    <w:p w14:paraId="56E1C2B0" w14:textId="77777777"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iCs/>
          <w:sz w:val="24"/>
          <w:szCs w:val="24"/>
          <w:bdr w:val="none" w:sz="0" w:space="0" w:color="auto" w:frame="1"/>
        </w:rPr>
      </w:pPr>
      <w:r w:rsidRPr="00F64509">
        <w:rPr>
          <w:rFonts w:asciiTheme="majorBidi" w:eastAsia="Times New Roman" w:hAnsiTheme="majorBidi" w:cstheme="majorBidi"/>
          <w:iCs/>
          <w:sz w:val="24"/>
          <w:szCs w:val="24"/>
          <w:bdr w:val="none" w:sz="0" w:space="0" w:color="auto" w:frame="1"/>
        </w:rPr>
        <w:t xml:space="preserve">Baghramian, M., Coliva, A. 2020 </w:t>
      </w:r>
      <w:r w:rsidRPr="00F64509">
        <w:rPr>
          <w:rFonts w:asciiTheme="majorBidi" w:eastAsia="Times New Roman" w:hAnsiTheme="majorBidi" w:cstheme="majorBidi"/>
          <w:i/>
          <w:iCs/>
          <w:sz w:val="24"/>
          <w:szCs w:val="24"/>
          <w:bdr w:val="none" w:sz="0" w:space="0" w:color="auto" w:frame="1"/>
        </w:rPr>
        <w:t>Relativism</w:t>
      </w:r>
      <w:r w:rsidRPr="00F64509">
        <w:rPr>
          <w:rFonts w:asciiTheme="majorBidi" w:eastAsia="Times New Roman" w:hAnsiTheme="majorBidi" w:cstheme="majorBidi"/>
          <w:iCs/>
          <w:sz w:val="24"/>
          <w:szCs w:val="24"/>
          <w:bdr w:val="none" w:sz="0" w:space="0" w:color="auto" w:frame="1"/>
        </w:rPr>
        <w:t>, New York, Routledge.</w:t>
      </w:r>
    </w:p>
    <w:p w14:paraId="4639D667" w14:textId="77777777" w:rsidR="00606D67" w:rsidRPr="00F64509" w:rsidRDefault="00606D67" w:rsidP="00F64509">
      <w:pPr>
        <w:spacing w:line="480" w:lineRule="auto"/>
        <w:ind w:left="720" w:hanging="720"/>
        <w:jc w:val="both"/>
        <w:rPr>
          <w:rFonts w:asciiTheme="majorBidi" w:hAnsiTheme="majorBidi" w:cstheme="majorBidi"/>
          <w:spacing w:val="4"/>
          <w:sz w:val="24"/>
          <w:szCs w:val="24"/>
          <w:shd w:val="clear" w:color="auto" w:fill="FCFCFC"/>
        </w:rPr>
      </w:pPr>
      <w:r w:rsidRPr="00F64509">
        <w:rPr>
          <w:rFonts w:asciiTheme="majorBidi" w:hAnsiTheme="majorBidi" w:cstheme="majorBidi"/>
          <w:spacing w:val="4"/>
          <w:sz w:val="24"/>
          <w:szCs w:val="24"/>
          <w:shd w:val="clear" w:color="auto" w:fill="FCFCFC"/>
        </w:rPr>
        <w:t xml:space="preserve">Boncompagni, A. 2019 “Hinges, prejudices and radical doubters”, </w:t>
      </w:r>
      <w:r w:rsidRPr="00F64509">
        <w:rPr>
          <w:rFonts w:asciiTheme="majorBidi" w:hAnsiTheme="majorBidi" w:cstheme="majorBidi"/>
          <w:i/>
          <w:spacing w:val="4"/>
          <w:sz w:val="24"/>
          <w:szCs w:val="24"/>
          <w:shd w:val="clear" w:color="auto" w:fill="FCFCFC"/>
        </w:rPr>
        <w:t xml:space="preserve">Wittgenstein Studien </w:t>
      </w:r>
      <w:r w:rsidRPr="00F64509">
        <w:rPr>
          <w:rFonts w:asciiTheme="majorBidi" w:hAnsiTheme="majorBidi" w:cstheme="majorBidi"/>
          <w:spacing w:val="4"/>
          <w:sz w:val="24"/>
          <w:szCs w:val="24"/>
          <w:shd w:val="clear" w:color="auto" w:fill="FCFCFC"/>
        </w:rPr>
        <w:t>10:1, pp. 165-182.</w:t>
      </w:r>
    </w:p>
    <w:p w14:paraId="537433B6" w14:textId="33BFB397" w:rsidR="00176617" w:rsidRPr="00F64509" w:rsidRDefault="00606D67"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pacing w:val="4"/>
          <w:sz w:val="24"/>
          <w:szCs w:val="24"/>
          <w:shd w:val="clear" w:color="auto" w:fill="FCFCFC"/>
          <w:lang w:val="it-IT"/>
        </w:rPr>
        <w:t xml:space="preserve">Boncompagni, A. 2020 “Prejudice in testimonial justification. </w:t>
      </w:r>
      <w:r w:rsidRPr="00F64509">
        <w:rPr>
          <w:rFonts w:asciiTheme="majorBidi" w:hAnsiTheme="majorBidi" w:cstheme="majorBidi"/>
          <w:spacing w:val="4"/>
          <w:sz w:val="24"/>
          <w:szCs w:val="24"/>
          <w:shd w:val="clear" w:color="auto" w:fill="FCFCFC"/>
        </w:rPr>
        <w:t xml:space="preserve">A hinge account”, </w:t>
      </w:r>
      <w:r w:rsidR="00176617" w:rsidRPr="00F64509">
        <w:rPr>
          <w:rFonts w:asciiTheme="majorBidi" w:hAnsiTheme="majorBidi" w:cstheme="majorBidi"/>
          <w:i/>
          <w:iCs/>
          <w:spacing w:val="4"/>
          <w:sz w:val="24"/>
          <w:szCs w:val="24"/>
          <w:shd w:val="clear" w:color="auto" w:fill="FCFCFC"/>
        </w:rPr>
        <w:t>Episteme</w:t>
      </w:r>
      <w:r w:rsidR="00176617" w:rsidRPr="00F64509">
        <w:rPr>
          <w:rFonts w:asciiTheme="majorBidi" w:hAnsiTheme="majorBidi" w:cstheme="majorBidi"/>
          <w:spacing w:val="4"/>
          <w:sz w:val="24"/>
          <w:szCs w:val="24"/>
          <w:shd w:val="clear" w:color="auto" w:fill="FCFCFC"/>
        </w:rPr>
        <w:t>,</w:t>
      </w:r>
      <w:r w:rsidR="00D66941" w:rsidRPr="00F64509">
        <w:rPr>
          <w:rFonts w:asciiTheme="majorBidi" w:hAnsiTheme="majorBidi" w:cstheme="majorBidi"/>
          <w:spacing w:val="4"/>
          <w:sz w:val="24"/>
          <w:szCs w:val="24"/>
          <w:shd w:val="clear" w:color="auto" w:fill="FCFCFC"/>
        </w:rPr>
        <w:t xml:space="preserve"> </w:t>
      </w:r>
      <w:r w:rsidR="00D66941" w:rsidRPr="00F64509">
        <w:rPr>
          <w:rFonts w:asciiTheme="majorBidi" w:hAnsiTheme="majorBidi" w:cstheme="majorBidi"/>
          <w:sz w:val="24"/>
          <w:szCs w:val="24"/>
        </w:rPr>
        <w:t>40, pp. 1-18.</w:t>
      </w:r>
    </w:p>
    <w:p w14:paraId="5C5978B4" w14:textId="666BDEAC" w:rsidR="00FA01AD" w:rsidRPr="00F64509" w:rsidRDefault="00FA01AD"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Boncompagni, A. 2022 “Religious hinges: some historical precursors”, </w:t>
      </w:r>
      <w:r w:rsidRPr="00F64509">
        <w:rPr>
          <w:rFonts w:asciiTheme="majorBidi" w:hAnsiTheme="majorBidi" w:cstheme="majorBidi"/>
          <w:i/>
          <w:iCs/>
          <w:sz w:val="24"/>
          <w:szCs w:val="24"/>
        </w:rPr>
        <w:t>Topoi</w:t>
      </w:r>
      <w:r w:rsidRPr="00F64509">
        <w:rPr>
          <w:rFonts w:asciiTheme="majorBidi" w:hAnsiTheme="majorBidi" w:cstheme="majorBidi"/>
          <w:sz w:val="24"/>
          <w:szCs w:val="24"/>
        </w:rPr>
        <w:t xml:space="preserve">, </w:t>
      </w:r>
      <w:r w:rsidRPr="00F64509">
        <w:rPr>
          <w:rFonts w:asciiTheme="majorBidi" w:hAnsiTheme="majorBidi" w:cstheme="majorBidi"/>
          <w:sz w:val="24"/>
          <w:szCs w:val="24"/>
          <w:shd w:val="clear" w:color="auto" w:fill="FCFCFC"/>
        </w:rPr>
        <w:t>https://doi.org/10.1007/s11245-022-09824-y</w:t>
      </w:r>
    </w:p>
    <w:p w14:paraId="309C4421" w14:textId="48FA808B" w:rsidR="00EA4B48" w:rsidRPr="00F64509" w:rsidRDefault="00EA4B48" w:rsidP="00F64509">
      <w:pPr>
        <w:shd w:val="clear" w:color="auto" w:fill="FFFFFF"/>
        <w:spacing w:line="480" w:lineRule="auto"/>
        <w:ind w:left="720" w:hanging="720"/>
        <w:jc w:val="both"/>
        <w:rPr>
          <w:rFonts w:asciiTheme="majorBidi" w:eastAsia="Times New Roman" w:hAnsiTheme="majorBidi" w:cstheme="majorBidi"/>
          <w:spacing w:val="-5"/>
          <w:sz w:val="24"/>
          <w:szCs w:val="24"/>
          <w:lang w:val="fr-FR"/>
        </w:rPr>
      </w:pPr>
      <w:r w:rsidRPr="00F64509">
        <w:rPr>
          <w:rFonts w:asciiTheme="majorBidi" w:hAnsiTheme="majorBidi" w:cstheme="majorBidi"/>
          <w:sz w:val="24"/>
          <w:szCs w:val="24"/>
          <w:lang w:val="fr-FR"/>
        </w:rPr>
        <w:t xml:space="preserve">Carnap, R. 1950 “Empiricism, semantics and ontology”, </w:t>
      </w:r>
      <w:r w:rsidRPr="00F64509">
        <w:rPr>
          <w:rFonts w:asciiTheme="majorBidi" w:eastAsia="Times New Roman" w:hAnsiTheme="majorBidi" w:cstheme="majorBidi"/>
          <w:i/>
          <w:iCs/>
          <w:spacing w:val="-5"/>
          <w:sz w:val="24"/>
          <w:szCs w:val="24"/>
          <w:lang w:val="fr-FR"/>
        </w:rPr>
        <w:t xml:space="preserve">Revue Internationale de Philosophie </w:t>
      </w:r>
      <w:r w:rsidRPr="00F64509">
        <w:rPr>
          <w:rFonts w:asciiTheme="majorBidi" w:eastAsia="Times New Roman" w:hAnsiTheme="majorBidi" w:cstheme="majorBidi"/>
          <w:spacing w:val="-5"/>
          <w:sz w:val="24"/>
          <w:szCs w:val="24"/>
          <w:lang w:val="fr-FR"/>
        </w:rPr>
        <w:t>4/11, pp. 20-40.</w:t>
      </w:r>
    </w:p>
    <w:p w14:paraId="4991D951" w14:textId="7E60642B" w:rsidR="00D66941" w:rsidRPr="00F64509" w:rsidRDefault="00D66941"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 xml:space="preserve">Coliva, A. 2010a </w:t>
      </w:r>
      <w:r w:rsidRPr="00F64509">
        <w:rPr>
          <w:rFonts w:asciiTheme="majorBidi" w:hAnsiTheme="majorBidi" w:cstheme="majorBidi"/>
          <w:i/>
          <w:sz w:val="24"/>
          <w:szCs w:val="24"/>
          <w:lang w:val="en-GB"/>
        </w:rPr>
        <w:t>Moore and Wittgenstein. Scepticism, Certainty and Common Sense</w:t>
      </w:r>
      <w:r w:rsidRPr="00F64509">
        <w:rPr>
          <w:rFonts w:asciiTheme="majorBidi" w:hAnsiTheme="majorBidi" w:cstheme="majorBidi"/>
          <w:sz w:val="24"/>
          <w:szCs w:val="24"/>
          <w:lang w:val="en-GB"/>
        </w:rPr>
        <w:t>, London, Palgrave Macmillan.</w:t>
      </w:r>
    </w:p>
    <w:p w14:paraId="6EB742EA" w14:textId="6E0C42DC" w:rsidR="00606D67" w:rsidRPr="00F64509" w:rsidRDefault="00606D67" w:rsidP="00F64509">
      <w:pPr>
        <w:spacing w:line="480" w:lineRule="auto"/>
        <w:ind w:left="720" w:hanging="720"/>
        <w:jc w:val="both"/>
        <w:rPr>
          <w:rFonts w:asciiTheme="majorBidi" w:hAnsiTheme="majorBidi" w:cstheme="majorBidi"/>
          <w:spacing w:val="4"/>
          <w:sz w:val="24"/>
          <w:szCs w:val="24"/>
          <w:shd w:val="clear" w:color="auto" w:fill="FCFCFC"/>
        </w:rPr>
      </w:pPr>
      <w:r w:rsidRPr="00F64509">
        <w:rPr>
          <w:rFonts w:asciiTheme="majorBidi" w:hAnsiTheme="majorBidi" w:cstheme="majorBidi"/>
          <w:spacing w:val="4"/>
          <w:sz w:val="24"/>
          <w:szCs w:val="24"/>
          <w:shd w:val="clear" w:color="auto" w:fill="FCFCFC"/>
        </w:rPr>
        <w:t>Coliva, A. 2010</w:t>
      </w:r>
      <w:r w:rsidR="00176617" w:rsidRPr="00F64509">
        <w:rPr>
          <w:rFonts w:asciiTheme="majorBidi" w:hAnsiTheme="majorBidi" w:cstheme="majorBidi"/>
          <w:spacing w:val="4"/>
          <w:sz w:val="24"/>
          <w:szCs w:val="24"/>
          <w:shd w:val="clear" w:color="auto" w:fill="FCFCFC"/>
        </w:rPr>
        <w:t>b</w:t>
      </w:r>
      <w:r w:rsidRPr="00F64509">
        <w:rPr>
          <w:rFonts w:asciiTheme="majorBidi" w:hAnsiTheme="majorBidi" w:cstheme="majorBidi"/>
          <w:spacing w:val="4"/>
          <w:sz w:val="24"/>
          <w:szCs w:val="24"/>
          <w:shd w:val="clear" w:color="auto" w:fill="FCFCFC"/>
        </w:rPr>
        <w:t xml:space="preserve"> “Was Wittgenstein an epistemic relativist?”, </w:t>
      </w:r>
      <w:r w:rsidRPr="00F64509">
        <w:rPr>
          <w:rFonts w:asciiTheme="majorBidi" w:hAnsiTheme="majorBidi" w:cstheme="majorBidi"/>
          <w:i/>
          <w:spacing w:val="4"/>
          <w:sz w:val="24"/>
          <w:szCs w:val="24"/>
          <w:shd w:val="clear" w:color="auto" w:fill="FCFCFC"/>
        </w:rPr>
        <w:t>Philosophical Investigations</w:t>
      </w:r>
      <w:r w:rsidRPr="00F64509">
        <w:rPr>
          <w:rFonts w:asciiTheme="majorBidi" w:hAnsiTheme="majorBidi" w:cstheme="majorBidi"/>
          <w:spacing w:val="4"/>
          <w:sz w:val="24"/>
          <w:szCs w:val="24"/>
          <w:shd w:val="clear" w:color="auto" w:fill="FCFCFC"/>
        </w:rPr>
        <w:t xml:space="preserve"> 33/1, pp. 1-23.</w:t>
      </w:r>
    </w:p>
    <w:p w14:paraId="115E1A07" w14:textId="72AB6198" w:rsidR="00606D67" w:rsidRPr="00F64509" w:rsidRDefault="00606D67"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Coliva, A. 2015 </w:t>
      </w:r>
      <w:r w:rsidRPr="00F64509">
        <w:rPr>
          <w:rFonts w:asciiTheme="majorBidi" w:hAnsiTheme="majorBidi" w:cstheme="majorBidi"/>
          <w:i/>
          <w:sz w:val="24"/>
          <w:szCs w:val="24"/>
        </w:rPr>
        <w:t>Extended Rationality. A Hinge Epistemology</w:t>
      </w:r>
      <w:r w:rsidRPr="00F64509">
        <w:rPr>
          <w:rFonts w:asciiTheme="majorBidi" w:hAnsiTheme="majorBidi" w:cstheme="majorBidi"/>
          <w:sz w:val="24"/>
          <w:szCs w:val="24"/>
        </w:rPr>
        <w:t xml:space="preserve">, </w:t>
      </w:r>
      <w:r w:rsidR="00176617" w:rsidRPr="00F64509">
        <w:rPr>
          <w:rFonts w:asciiTheme="majorBidi" w:hAnsiTheme="majorBidi" w:cstheme="majorBidi"/>
          <w:sz w:val="24"/>
          <w:szCs w:val="24"/>
          <w:lang w:val="en-GB"/>
        </w:rPr>
        <w:t>London, Palgrave Macmillan</w:t>
      </w:r>
      <w:r w:rsidRPr="00F64509">
        <w:rPr>
          <w:rFonts w:asciiTheme="majorBidi" w:hAnsiTheme="majorBidi" w:cstheme="majorBidi"/>
          <w:sz w:val="24"/>
          <w:szCs w:val="24"/>
        </w:rPr>
        <w:t>.</w:t>
      </w:r>
    </w:p>
    <w:p w14:paraId="7D68724A" w14:textId="77777777" w:rsidR="00606D67" w:rsidRPr="00F64509" w:rsidRDefault="00606D67"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Coliva, A. 2019a “Hinge epistemology and relativism”, in M. Kusch </w:t>
      </w:r>
      <w:r w:rsidRPr="00F64509">
        <w:rPr>
          <w:rFonts w:asciiTheme="majorBidi" w:hAnsiTheme="majorBidi" w:cstheme="majorBidi"/>
          <w:i/>
          <w:sz w:val="24"/>
          <w:szCs w:val="24"/>
        </w:rPr>
        <w:t>et al</w:t>
      </w:r>
      <w:r w:rsidRPr="00F64509">
        <w:rPr>
          <w:rFonts w:asciiTheme="majorBidi" w:hAnsiTheme="majorBidi" w:cstheme="majorBidi"/>
          <w:sz w:val="24"/>
          <w:szCs w:val="24"/>
        </w:rPr>
        <w:t xml:space="preserve">. (eds.) </w:t>
      </w:r>
      <w:r w:rsidRPr="00F64509">
        <w:rPr>
          <w:rFonts w:asciiTheme="majorBidi" w:hAnsiTheme="majorBidi" w:cstheme="majorBidi"/>
          <w:i/>
          <w:sz w:val="24"/>
          <w:szCs w:val="24"/>
          <w:shd w:val="clear" w:color="auto" w:fill="FFFFFF"/>
        </w:rPr>
        <w:t>Routledge Handbook of Philosophy of Relativism</w:t>
      </w:r>
      <w:r w:rsidRPr="00F64509">
        <w:rPr>
          <w:rFonts w:asciiTheme="majorBidi" w:hAnsiTheme="majorBidi" w:cstheme="majorBidi"/>
          <w:sz w:val="24"/>
          <w:szCs w:val="24"/>
          <w:shd w:val="clear" w:color="auto" w:fill="FFFFFF"/>
        </w:rPr>
        <w:t>, Routledge, pp. 320-328.</w:t>
      </w:r>
    </w:p>
    <w:p w14:paraId="2AF5794B" w14:textId="77777777" w:rsidR="00606D67" w:rsidRPr="00F64509" w:rsidRDefault="00606D67"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lastRenderedPageBreak/>
        <w:t xml:space="preserve">Coliva, A. 2019b “Testimonial hinges”, </w:t>
      </w:r>
      <w:r w:rsidRPr="00F64509">
        <w:rPr>
          <w:rFonts w:asciiTheme="majorBidi" w:hAnsiTheme="majorBidi" w:cstheme="majorBidi"/>
          <w:i/>
          <w:sz w:val="24"/>
          <w:szCs w:val="24"/>
        </w:rPr>
        <w:t>Philosophical Issues</w:t>
      </w:r>
      <w:r w:rsidRPr="00F64509">
        <w:rPr>
          <w:rFonts w:asciiTheme="majorBidi" w:hAnsiTheme="majorBidi" w:cstheme="majorBidi"/>
          <w:sz w:val="24"/>
          <w:szCs w:val="24"/>
        </w:rPr>
        <w:t xml:space="preserve"> </w:t>
      </w:r>
      <w:r w:rsidRPr="00F64509">
        <w:rPr>
          <w:rFonts w:asciiTheme="majorBidi" w:hAnsiTheme="majorBidi" w:cstheme="majorBidi"/>
          <w:sz w:val="24"/>
          <w:szCs w:val="24"/>
          <w:shd w:val="clear" w:color="auto" w:fill="FFFFFF"/>
        </w:rPr>
        <w:t>29, pp. 53-68</w:t>
      </w:r>
      <w:r w:rsidRPr="00F64509">
        <w:rPr>
          <w:rFonts w:asciiTheme="majorBidi" w:hAnsiTheme="majorBidi" w:cstheme="majorBidi"/>
          <w:sz w:val="24"/>
          <w:szCs w:val="24"/>
        </w:rPr>
        <w:t>.</w:t>
      </w:r>
    </w:p>
    <w:p w14:paraId="30C8E67A" w14:textId="77777777" w:rsidR="002A7AF6" w:rsidRPr="00F64509" w:rsidRDefault="002A7AF6" w:rsidP="002A7AF6">
      <w:pPr>
        <w:widowControl w:val="0"/>
        <w:autoSpaceDE w:val="0"/>
        <w:autoSpaceDN w:val="0"/>
        <w:adjustRightInd w:val="0"/>
        <w:spacing w:line="480" w:lineRule="auto"/>
        <w:ind w:left="720" w:hanging="720"/>
        <w:jc w:val="both"/>
        <w:rPr>
          <w:rFonts w:asciiTheme="majorBidi" w:eastAsiaTheme="minorEastAsia" w:hAnsiTheme="majorBidi" w:cstheme="majorBidi"/>
          <w:sz w:val="24"/>
          <w:szCs w:val="24"/>
        </w:rPr>
      </w:pPr>
      <w:r w:rsidRPr="00F64509">
        <w:rPr>
          <w:rFonts w:asciiTheme="majorBidi" w:eastAsiaTheme="minorEastAsia" w:hAnsiTheme="majorBidi" w:cstheme="majorBidi"/>
          <w:sz w:val="24"/>
          <w:szCs w:val="24"/>
        </w:rPr>
        <w:t xml:space="preserve">Coliva, A. 2022 </w:t>
      </w:r>
      <w:r w:rsidRPr="00F64509">
        <w:rPr>
          <w:rFonts w:asciiTheme="majorBidi" w:eastAsiaTheme="minorEastAsia" w:hAnsiTheme="majorBidi" w:cstheme="majorBidi"/>
          <w:i/>
          <w:iCs/>
          <w:sz w:val="24"/>
          <w:szCs w:val="24"/>
        </w:rPr>
        <w:t>Wittgenstein Rehinged</w:t>
      </w:r>
      <w:r w:rsidRPr="00F64509">
        <w:rPr>
          <w:rFonts w:asciiTheme="majorBidi" w:eastAsiaTheme="minorEastAsia" w:hAnsiTheme="majorBidi" w:cstheme="majorBidi"/>
          <w:sz w:val="24"/>
          <w:szCs w:val="24"/>
        </w:rPr>
        <w:t>, London, Anthem.</w:t>
      </w:r>
    </w:p>
    <w:p w14:paraId="41B60064" w14:textId="483CBE91" w:rsidR="00606D67" w:rsidRPr="00F64509" w:rsidRDefault="00606D67"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Coliva, A. 202</w:t>
      </w:r>
      <w:r w:rsidR="002A7AF6">
        <w:rPr>
          <w:rFonts w:asciiTheme="majorBidi" w:hAnsiTheme="majorBidi" w:cstheme="majorBidi"/>
          <w:sz w:val="24"/>
          <w:szCs w:val="24"/>
          <w:lang w:val="en-GB"/>
        </w:rPr>
        <w:t>5a</w:t>
      </w:r>
      <w:r w:rsidRPr="00F64509">
        <w:rPr>
          <w:rFonts w:asciiTheme="majorBidi" w:hAnsiTheme="majorBidi" w:cstheme="majorBidi"/>
          <w:sz w:val="24"/>
          <w:szCs w:val="24"/>
          <w:lang w:val="en-GB"/>
        </w:rPr>
        <w:t xml:space="preserve"> </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Social Hinge Epistemology</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 in J. Lackey and A. McGlynn (eds.) </w:t>
      </w:r>
      <w:r w:rsidRPr="00F64509">
        <w:rPr>
          <w:rFonts w:asciiTheme="majorBidi" w:hAnsiTheme="majorBidi" w:cstheme="majorBidi"/>
          <w:i/>
          <w:sz w:val="24"/>
          <w:szCs w:val="24"/>
          <w:lang w:val="en-GB"/>
        </w:rPr>
        <w:t>The Oxford Handbook of Social Epistemology</w:t>
      </w:r>
      <w:r w:rsidRPr="00F64509">
        <w:rPr>
          <w:rFonts w:asciiTheme="majorBidi" w:hAnsiTheme="majorBidi" w:cstheme="majorBidi"/>
          <w:sz w:val="24"/>
          <w:szCs w:val="24"/>
          <w:lang w:val="en-GB"/>
        </w:rPr>
        <w:t xml:space="preserve">, Oxford, Oxford University Press, </w:t>
      </w:r>
      <w:r w:rsidR="002A7AF6">
        <w:rPr>
          <w:rFonts w:asciiTheme="majorBidi" w:hAnsiTheme="majorBidi" w:cstheme="majorBidi"/>
          <w:sz w:val="24"/>
          <w:szCs w:val="24"/>
          <w:lang w:val="en-GB"/>
        </w:rPr>
        <w:t xml:space="preserve">pp. </w:t>
      </w:r>
      <w:r w:rsidR="0055292F">
        <w:rPr>
          <w:rFonts w:asciiTheme="majorBidi" w:hAnsiTheme="majorBidi" w:cstheme="majorBidi"/>
          <w:sz w:val="24"/>
          <w:szCs w:val="24"/>
          <w:lang w:val="en-GB"/>
        </w:rPr>
        <w:t>840-861</w:t>
      </w:r>
      <w:r w:rsidR="00176617" w:rsidRPr="00F64509">
        <w:rPr>
          <w:rFonts w:asciiTheme="majorBidi" w:hAnsiTheme="majorBidi" w:cstheme="majorBidi"/>
          <w:sz w:val="24"/>
          <w:szCs w:val="24"/>
          <w:lang w:val="en-GB"/>
        </w:rPr>
        <w:t>.</w:t>
      </w:r>
    </w:p>
    <w:p w14:paraId="6EAEDE96" w14:textId="2D9BA256" w:rsidR="002A7AF6" w:rsidRPr="002A7AF6" w:rsidRDefault="002A7AF6" w:rsidP="00F64509">
      <w:pPr>
        <w:spacing w:line="480" w:lineRule="auto"/>
        <w:ind w:left="720" w:hanging="720"/>
        <w:jc w:val="both"/>
        <w:rPr>
          <w:rFonts w:asciiTheme="majorBidi" w:hAnsiTheme="majorBidi" w:cstheme="majorBidi"/>
          <w:sz w:val="24"/>
          <w:szCs w:val="24"/>
        </w:rPr>
      </w:pPr>
      <w:r w:rsidRPr="002A7AF6">
        <w:rPr>
          <w:rFonts w:asciiTheme="majorBidi" w:hAnsiTheme="majorBidi" w:cstheme="majorBidi"/>
          <w:sz w:val="24"/>
          <w:szCs w:val="24"/>
        </w:rPr>
        <w:t xml:space="preserve">Coliva, A. 2025b </w:t>
      </w:r>
      <w:r w:rsidRPr="002A7AF6">
        <w:rPr>
          <w:rFonts w:asciiTheme="majorBidi" w:hAnsiTheme="majorBidi" w:cstheme="majorBidi"/>
          <w:i/>
          <w:iCs/>
          <w:sz w:val="24"/>
          <w:szCs w:val="24"/>
        </w:rPr>
        <w:t>Wittgenstein and Social Epistemology</w:t>
      </w:r>
      <w:r>
        <w:rPr>
          <w:rFonts w:asciiTheme="majorBidi" w:hAnsiTheme="majorBidi" w:cstheme="majorBidi"/>
          <w:sz w:val="24"/>
          <w:szCs w:val="24"/>
        </w:rPr>
        <w:t>, Cambridge, Cambridge University Press.</w:t>
      </w:r>
    </w:p>
    <w:p w14:paraId="5EB1FB02" w14:textId="57BFC3C2" w:rsidR="00EC595A" w:rsidRPr="00F64509" w:rsidRDefault="00EC595A"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Coliva, A. 202</w:t>
      </w:r>
      <w:r w:rsidR="002A7AF6">
        <w:rPr>
          <w:rFonts w:asciiTheme="majorBidi" w:hAnsiTheme="majorBidi" w:cstheme="majorBidi"/>
          <w:sz w:val="24"/>
          <w:szCs w:val="24"/>
        </w:rPr>
        <w:t>5c</w:t>
      </w:r>
      <w:r w:rsidRPr="00F64509">
        <w:rPr>
          <w:rFonts w:asciiTheme="majorBidi" w:hAnsiTheme="majorBidi" w:cstheme="majorBidi"/>
          <w:sz w:val="24"/>
          <w:szCs w:val="24"/>
        </w:rPr>
        <w:t xml:space="preserve"> “</w:t>
      </w:r>
      <w:r w:rsidR="00B53A7E" w:rsidRPr="00F64509">
        <w:rPr>
          <w:rFonts w:asciiTheme="majorBidi" w:hAnsiTheme="majorBidi" w:cstheme="majorBidi"/>
          <w:sz w:val="24"/>
          <w:szCs w:val="24"/>
        </w:rPr>
        <w:t>‘</w:t>
      </w:r>
      <w:r w:rsidRPr="00F64509">
        <w:rPr>
          <w:rFonts w:asciiTheme="majorBidi" w:hAnsiTheme="majorBidi" w:cstheme="majorBidi"/>
          <w:sz w:val="24"/>
          <w:szCs w:val="24"/>
        </w:rPr>
        <w:t>So one cannot say “there are objects” as one says “there are books”. From TLP 4.1272 to Carnap, via OC 35-37”</w:t>
      </w:r>
      <w:r w:rsidR="002A7AF6">
        <w:rPr>
          <w:rFonts w:asciiTheme="majorBidi" w:hAnsiTheme="majorBidi" w:cstheme="majorBidi"/>
          <w:sz w:val="24"/>
          <w:szCs w:val="24"/>
        </w:rPr>
        <w:t>.</w:t>
      </w:r>
      <w:r w:rsidRPr="00F64509">
        <w:rPr>
          <w:rFonts w:asciiTheme="majorBidi" w:hAnsiTheme="majorBidi" w:cstheme="majorBidi"/>
          <w:sz w:val="24"/>
          <w:szCs w:val="24"/>
        </w:rPr>
        <w:t xml:space="preserve"> </w:t>
      </w:r>
      <w:r w:rsidR="002A7AF6" w:rsidRPr="002A7AF6">
        <w:rPr>
          <w:rFonts w:asciiTheme="majorBidi" w:hAnsiTheme="majorBidi" w:cstheme="majorBidi"/>
          <w:sz w:val="24"/>
          <w:szCs w:val="24"/>
        </w:rPr>
        <w:t>In A. Pichler et al. (eds.) </w:t>
      </w:r>
      <w:r w:rsidR="002A7AF6" w:rsidRPr="002A7AF6">
        <w:rPr>
          <w:rFonts w:asciiTheme="majorBidi" w:hAnsiTheme="majorBidi" w:cstheme="majorBidi"/>
          <w:i/>
          <w:iCs/>
          <w:sz w:val="24"/>
          <w:szCs w:val="24"/>
        </w:rPr>
        <w:t>100 Years of Tractatus Logico-Philosophicus — 70 Years after Wittgenstein’s Death: A Critical Assessment</w:t>
      </w:r>
      <w:r w:rsidR="002A7AF6" w:rsidRPr="002A7AF6">
        <w:rPr>
          <w:rFonts w:asciiTheme="majorBidi" w:hAnsiTheme="majorBidi" w:cstheme="majorBidi"/>
          <w:sz w:val="24"/>
          <w:szCs w:val="24"/>
        </w:rPr>
        <w:t>, Berlin, De Gruyter, pp. 303–318.</w:t>
      </w:r>
    </w:p>
    <w:p w14:paraId="34E56073" w14:textId="1FF701BF" w:rsidR="00EC595A" w:rsidRPr="00F64509" w:rsidRDefault="00EC595A" w:rsidP="00F64509">
      <w:pPr>
        <w:widowControl w:val="0"/>
        <w:autoSpaceDE w:val="0"/>
        <w:autoSpaceDN w:val="0"/>
        <w:adjustRightInd w:val="0"/>
        <w:spacing w:line="480" w:lineRule="auto"/>
        <w:ind w:left="720" w:hanging="720"/>
        <w:jc w:val="both"/>
        <w:rPr>
          <w:rFonts w:asciiTheme="majorBidi" w:eastAsiaTheme="minorEastAsia" w:hAnsiTheme="majorBidi" w:cstheme="majorBidi"/>
          <w:sz w:val="24"/>
          <w:szCs w:val="24"/>
        </w:rPr>
      </w:pPr>
      <w:r w:rsidRPr="00F64509">
        <w:rPr>
          <w:rFonts w:asciiTheme="majorBidi" w:eastAsiaTheme="minorEastAsia" w:hAnsiTheme="majorBidi" w:cstheme="majorBidi"/>
          <w:sz w:val="24"/>
          <w:szCs w:val="24"/>
        </w:rPr>
        <w:t>Coliva, A. 202</w:t>
      </w:r>
      <w:r w:rsidR="002A7AF6">
        <w:rPr>
          <w:rFonts w:asciiTheme="majorBidi" w:eastAsiaTheme="minorEastAsia" w:hAnsiTheme="majorBidi" w:cstheme="majorBidi"/>
          <w:sz w:val="24"/>
          <w:szCs w:val="24"/>
        </w:rPr>
        <w:t>6</w:t>
      </w:r>
      <w:r w:rsidRPr="00F64509">
        <w:rPr>
          <w:rFonts w:asciiTheme="majorBidi" w:eastAsiaTheme="minorEastAsia" w:hAnsiTheme="majorBidi" w:cstheme="majorBidi"/>
          <w:sz w:val="24"/>
          <w:szCs w:val="24"/>
        </w:rPr>
        <w:t xml:space="preserve"> </w:t>
      </w:r>
      <w:r w:rsidRPr="00F64509">
        <w:rPr>
          <w:rFonts w:asciiTheme="majorBidi" w:eastAsiaTheme="minorEastAsia" w:hAnsiTheme="majorBidi" w:cstheme="majorBidi"/>
          <w:i/>
          <w:iCs/>
          <w:sz w:val="24"/>
          <w:szCs w:val="24"/>
        </w:rPr>
        <w:t>Social and Applied Hinge Epistemology</w:t>
      </w:r>
      <w:r w:rsidRPr="00F64509">
        <w:rPr>
          <w:rFonts w:asciiTheme="majorBidi" w:eastAsiaTheme="minorEastAsia" w:hAnsiTheme="majorBidi" w:cstheme="majorBidi"/>
          <w:sz w:val="24"/>
          <w:szCs w:val="24"/>
        </w:rPr>
        <w:t xml:space="preserve">, </w:t>
      </w:r>
      <w:r w:rsidR="002A7AF6">
        <w:rPr>
          <w:rFonts w:asciiTheme="majorBidi" w:eastAsiaTheme="minorEastAsia" w:hAnsiTheme="majorBidi" w:cstheme="majorBidi"/>
          <w:sz w:val="24"/>
          <w:szCs w:val="24"/>
        </w:rPr>
        <w:t>Oxford, Oxford University Press.</w:t>
      </w:r>
    </w:p>
    <w:p w14:paraId="3F56F9E4" w14:textId="6F1C190B" w:rsidR="00EC595A" w:rsidRPr="00F64509" w:rsidRDefault="00EC595A" w:rsidP="00F64509">
      <w:pPr>
        <w:pStyle w:val="Paragraph"/>
        <w:spacing w:after="160" w:line="480" w:lineRule="auto"/>
        <w:ind w:left="720" w:hanging="720"/>
        <w:jc w:val="both"/>
        <w:rPr>
          <w:rFonts w:asciiTheme="majorBidi" w:hAnsiTheme="majorBidi" w:cstheme="majorBidi"/>
          <w:color w:val="auto"/>
          <w:shd w:val="clear" w:color="auto" w:fill="FCFCFC"/>
        </w:rPr>
      </w:pPr>
      <w:r w:rsidRPr="00F64509">
        <w:rPr>
          <w:rFonts w:asciiTheme="majorBidi" w:hAnsiTheme="majorBidi" w:cstheme="majorBidi"/>
          <w:color w:val="auto"/>
        </w:rPr>
        <w:t xml:space="preserve">Coliva, A. and Doulas, L. 2022 “What Philosophical Disagreement and Philosophical Skepticism Hinge On.” </w:t>
      </w:r>
      <w:r w:rsidRPr="00F64509">
        <w:rPr>
          <w:rFonts w:asciiTheme="majorBidi" w:hAnsiTheme="majorBidi" w:cstheme="majorBidi"/>
          <w:i/>
          <w:iCs/>
          <w:color w:val="auto"/>
        </w:rPr>
        <w:t>Synthese</w:t>
      </w:r>
      <w:r w:rsidRPr="00F64509">
        <w:rPr>
          <w:rFonts w:asciiTheme="majorBidi" w:hAnsiTheme="majorBidi" w:cstheme="majorBidi"/>
          <w:color w:val="auto"/>
        </w:rPr>
        <w:t xml:space="preserve">, </w:t>
      </w:r>
      <w:r w:rsidRPr="00F64509">
        <w:rPr>
          <w:rFonts w:asciiTheme="majorBidi" w:hAnsiTheme="majorBidi" w:cstheme="majorBidi"/>
          <w:color w:val="auto"/>
          <w:shd w:val="clear" w:color="auto" w:fill="FCFCFC"/>
        </w:rPr>
        <w:t>200/</w:t>
      </w:r>
      <w:r w:rsidR="0054342A">
        <w:rPr>
          <w:rFonts w:asciiTheme="majorBidi" w:hAnsiTheme="majorBidi" w:cstheme="majorBidi"/>
          <w:color w:val="auto"/>
          <w:shd w:val="clear" w:color="auto" w:fill="FCFCFC"/>
        </w:rPr>
        <w:t>3, pp. 1-14.</w:t>
      </w:r>
    </w:p>
    <w:p w14:paraId="70D5CE81" w14:textId="77777777" w:rsidR="0054342A" w:rsidRPr="00F64509" w:rsidRDefault="0054342A" w:rsidP="0054342A">
      <w:pPr>
        <w:pStyle w:val="Body"/>
        <w:spacing w:after="160" w:line="480" w:lineRule="auto"/>
        <w:ind w:left="720" w:hanging="720"/>
        <w:jc w:val="both"/>
        <w:rPr>
          <w:rFonts w:asciiTheme="majorBidi" w:hAnsiTheme="majorBidi" w:cstheme="majorBidi"/>
          <w:color w:val="auto"/>
        </w:rPr>
      </w:pPr>
      <w:r w:rsidRPr="00F64509">
        <w:rPr>
          <w:rFonts w:asciiTheme="majorBidi" w:hAnsiTheme="majorBidi" w:cstheme="majorBidi"/>
          <w:color w:val="auto"/>
        </w:rPr>
        <w:t>Coliva, A. and Doulas, L. 202</w:t>
      </w:r>
      <w:r>
        <w:rPr>
          <w:rFonts w:asciiTheme="majorBidi" w:hAnsiTheme="majorBidi" w:cstheme="majorBidi"/>
          <w:color w:val="auto"/>
        </w:rPr>
        <w:t>5</w:t>
      </w:r>
      <w:r w:rsidRPr="00F64509">
        <w:rPr>
          <w:rFonts w:asciiTheme="majorBidi" w:hAnsiTheme="majorBidi" w:cstheme="majorBidi"/>
          <w:color w:val="auto"/>
        </w:rPr>
        <w:t xml:space="preserve"> “Philosophical Progress, Skepticism, and Disagreement.” In J.A. Carter, M. Baghramian, and R. Rowland (eds</w:t>
      </w:r>
      <w:r w:rsidRPr="00F64509">
        <w:rPr>
          <w:rFonts w:asciiTheme="majorBidi" w:hAnsiTheme="majorBidi" w:cstheme="majorBidi"/>
          <w:i/>
          <w:iCs/>
          <w:color w:val="auto"/>
        </w:rPr>
        <w:t>.) The Routledge</w:t>
      </w:r>
      <w:r w:rsidRPr="00F64509">
        <w:rPr>
          <w:rFonts w:asciiTheme="majorBidi" w:hAnsiTheme="majorBidi" w:cstheme="majorBidi"/>
          <w:color w:val="auto"/>
        </w:rPr>
        <w:t xml:space="preserve"> </w:t>
      </w:r>
      <w:r w:rsidRPr="00F64509">
        <w:rPr>
          <w:rFonts w:asciiTheme="majorBidi" w:hAnsiTheme="majorBidi" w:cstheme="majorBidi"/>
          <w:i/>
          <w:iCs/>
          <w:color w:val="auto"/>
        </w:rPr>
        <w:t>Handbook of Philosophy of Disagreement</w:t>
      </w:r>
      <w:r w:rsidRPr="00F64509">
        <w:rPr>
          <w:rFonts w:asciiTheme="majorBidi" w:hAnsiTheme="majorBidi" w:cstheme="majorBidi"/>
          <w:color w:val="auto"/>
        </w:rPr>
        <w:t xml:space="preserve">, London, Routledge, </w:t>
      </w:r>
      <w:r>
        <w:rPr>
          <w:rFonts w:asciiTheme="majorBidi" w:hAnsiTheme="majorBidi" w:cstheme="majorBidi"/>
          <w:color w:val="auto"/>
        </w:rPr>
        <w:t>pp. 38-50</w:t>
      </w:r>
      <w:r w:rsidRPr="00F64509">
        <w:rPr>
          <w:rFonts w:asciiTheme="majorBidi" w:hAnsiTheme="majorBidi" w:cstheme="majorBidi"/>
          <w:color w:val="auto"/>
        </w:rPr>
        <w:t>.</w:t>
      </w:r>
    </w:p>
    <w:p w14:paraId="15A975C5" w14:textId="2E6468E4" w:rsidR="00EA4B48" w:rsidRPr="00F64509" w:rsidRDefault="00EA4B48" w:rsidP="00F64509">
      <w:pPr>
        <w:pStyle w:val="Body"/>
        <w:spacing w:after="160" w:line="480" w:lineRule="auto"/>
        <w:ind w:left="720" w:hanging="720"/>
        <w:jc w:val="both"/>
        <w:rPr>
          <w:rFonts w:asciiTheme="majorBidi" w:hAnsiTheme="majorBidi" w:cstheme="majorBidi"/>
          <w:color w:val="auto"/>
        </w:rPr>
      </w:pPr>
      <w:r w:rsidRPr="00F64509">
        <w:rPr>
          <w:rFonts w:asciiTheme="majorBidi" w:hAnsiTheme="majorBidi" w:cstheme="majorBidi"/>
          <w:color w:val="auto"/>
        </w:rPr>
        <w:t>Coliva, A., Gupta, A. and Wright, A. 202</w:t>
      </w:r>
      <w:r w:rsidR="00C269CA">
        <w:rPr>
          <w:rFonts w:asciiTheme="majorBidi" w:hAnsiTheme="majorBidi" w:cstheme="majorBidi"/>
          <w:color w:val="auto"/>
        </w:rPr>
        <w:t>4</w:t>
      </w:r>
      <w:r w:rsidRPr="00F64509">
        <w:rPr>
          <w:rFonts w:asciiTheme="majorBidi" w:hAnsiTheme="majorBidi" w:cstheme="majorBidi"/>
          <w:color w:val="auto"/>
        </w:rPr>
        <w:t xml:space="preserve"> “A debate about skepticism and perceptual beliefs”</w:t>
      </w:r>
      <w:r w:rsidR="00C269CA">
        <w:rPr>
          <w:rFonts w:asciiTheme="majorBidi" w:hAnsiTheme="majorBidi" w:cstheme="majorBidi"/>
          <w:color w:val="auto"/>
        </w:rPr>
        <w:t xml:space="preserve">. </w:t>
      </w:r>
      <w:r w:rsidR="00C269CA" w:rsidRPr="00C269CA">
        <w:rPr>
          <w:rFonts w:asciiTheme="majorBidi" w:hAnsiTheme="majorBidi" w:cstheme="majorBidi"/>
          <w:color w:val="auto"/>
        </w:rPr>
        <w:t>In M. Vuletić and O. Beck (eds.) </w:t>
      </w:r>
      <w:r w:rsidR="00C269CA" w:rsidRPr="00C269CA">
        <w:rPr>
          <w:rFonts w:asciiTheme="majorBidi" w:hAnsiTheme="majorBidi" w:cstheme="majorBidi"/>
          <w:i/>
          <w:iCs/>
          <w:color w:val="auto"/>
        </w:rPr>
        <w:t>Empirical Reason and Sensory Experience</w:t>
      </w:r>
      <w:r w:rsidR="00C269CA" w:rsidRPr="00C269CA">
        <w:rPr>
          <w:rFonts w:asciiTheme="majorBidi" w:hAnsiTheme="majorBidi" w:cstheme="majorBidi"/>
          <w:color w:val="auto"/>
        </w:rPr>
        <w:t>, Dordrecht, Springer, pp. 355–390</w:t>
      </w:r>
      <w:r w:rsidRPr="00F64509">
        <w:rPr>
          <w:rFonts w:asciiTheme="majorBidi" w:hAnsiTheme="majorBidi" w:cstheme="majorBidi"/>
          <w:color w:val="auto"/>
        </w:rPr>
        <w:t>.</w:t>
      </w:r>
    </w:p>
    <w:p w14:paraId="732ECFD0" w14:textId="77777777" w:rsidR="00C269CA" w:rsidRPr="00F64509" w:rsidRDefault="00C269CA" w:rsidP="00C269CA">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hAnsiTheme="majorBidi" w:cstheme="majorBidi"/>
          <w:sz w:val="24"/>
          <w:szCs w:val="24"/>
        </w:rPr>
        <w:t xml:space="preserve">Coliva, A. and Moyal-Sharrock, D. 2016 (eds.) </w:t>
      </w:r>
      <w:r w:rsidRPr="00F64509">
        <w:rPr>
          <w:rFonts w:asciiTheme="majorBidi" w:eastAsia="Times New Roman" w:hAnsiTheme="majorBidi" w:cstheme="majorBidi"/>
          <w:i/>
          <w:sz w:val="24"/>
          <w:szCs w:val="24"/>
          <w:bdr w:val="none" w:sz="0" w:space="0" w:color="auto" w:frame="1"/>
        </w:rPr>
        <w:t>Hinge Epistemology</w:t>
      </w:r>
      <w:r w:rsidRPr="00F64509">
        <w:rPr>
          <w:rFonts w:asciiTheme="majorBidi" w:eastAsia="Times New Roman" w:hAnsiTheme="majorBidi" w:cstheme="majorBidi"/>
          <w:sz w:val="24"/>
          <w:szCs w:val="24"/>
          <w:bdr w:val="none" w:sz="0" w:space="0" w:color="auto" w:frame="1"/>
        </w:rPr>
        <w:t>, Leiden, Brill.</w:t>
      </w:r>
    </w:p>
    <w:p w14:paraId="0753D537" w14:textId="4CB59C0A"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hAnsiTheme="majorBidi" w:cstheme="majorBidi"/>
          <w:sz w:val="24"/>
          <w:szCs w:val="24"/>
        </w:rPr>
        <w:t xml:space="preserve">Coliva, A. and Palmira, M. 2020 “Hinge disagreement”, in </w:t>
      </w:r>
      <w:r w:rsidRPr="00F64509">
        <w:rPr>
          <w:rFonts w:asciiTheme="majorBidi" w:eastAsia="Times New Roman" w:hAnsiTheme="majorBidi" w:cstheme="majorBidi"/>
          <w:sz w:val="24"/>
          <w:szCs w:val="24"/>
          <w:bdr w:val="none" w:sz="0" w:space="0" w:color="auto" w:frame="1"/>
        </w:rPr>
        <w:t>M. Kusch, R. McKenna &amp; K. Sodoma (eds.)</w:t>
      </w:r>
      <w:r w:rsidRPr="00F64509">
        <w:rPr>
          <w:rFonts w:asciiTheme="majorBidi" w:hAnsiTheme="majorBidi" w:cstheme="majorBidi"/>
          <w:i/>
          <w:sz w:val="24"/>
          <w:szCs w:val="24"/>
        </w:rPr>
        <w:t xml:space="preserve"> Social Epistemology and R</w:t>
      </w:r>
      <w:r w:rsidRPr="00F64509">
        <w:rPr>
          <w:rFonts w:asciiTheme="majorBidi" w:eastAsia="Times New Roman" w:hAnsiTheme="majorBidi" w:cstheme="majorBidi"/>
          <w:i/>
          <w:sz w:val="24"/>
          <w:szCs w:val="24"/>
          <w:bdr w:val="none" w:sz="0" w:space="0" w:color="auto" w:frame="1"/>
        </w:rPr>
        <w:t>elativism</w:t>
      </w:r>
      <w:r w:rsidRPr="00F64509">
        <w:rPr>
          <w:rFonts w:asciiTheme="majorBidi" w:eastAsia="Times New Roman" w:hAnsiTheme="majorBidi" w:cstheme="majorBidi"/>
          <w:sz w:val="24"/>
          <w:szCs w:val="24"/>
          <w:bdr w:val="none" w:sz="0" w:space="0" w:color="auto" w:frame="1"/>
        </w:rPr>
        <w:t>, Routledge, pp. 11-29.</w:t>
      </w:r>
    </w:p>
    <w:p w14:paraId="63842B23" w14:textId="70D763E8" w:rsidR="00176617" w:rsidRPr="00F64509" w:rsidRDefault="00176617"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lastRenderedPageBreak/>
        <w:t xml:space="preserve">Coliva, A. and Palmira, M. 2021 </w:t>
      </w:r>
      <w:r w:rsidR="00EC595A"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Disagreement </w:t>
      </w:r>
      <w:r w:rsidR="00EC595A" w:rsidRPr="00F64509">
        <w:rPr>
          <w:rFonts w:asciiTheme="majorBidi" w:hAnsiTheme="majorBidi" w:cstheme="majorBidi"/>
          <w:sz w:val="24"/>
          <w:szCs w:val="24"/>
          <w:lang w:val="en-GB"/>
        </w:rPr>
        <w:t>u</w:t>
      </w:r>
      <w:r w:rsidRPr="00F64509">
        <w:rPr>
          <w:rFonts w:asciiTheme="majorBidi" w:hAnsiTheme="majorBidi" w:cstheme="majorBidi"/>
          <w:sz w:val="24"/>
          <w:szCs w:val="24"/>
          <w:lang w:val="en-GB"/>
        </w:rPr>
        <w:t>nhinged—</w:t>
      </w:r>
      <w:r w:rsidR="00EC595A" w:rsidRPr="00F64509">
        <w:rPr>
          <w:rFonts w:asciiTheme="majorBidi" w:hAnsiTheme="majorBidi" w:cstheme="majorBidi"/>
          <w:sz w:val="24"/>
          <w:szCs w:val="24"/>
          <w:lang w:val="en-GB"/>
        </w:rPr>
        <w:t>c</w:t>
      </w:r>
      <w:r w:rsidRPr="00F64509">
        <w:rPr>
          <w:rFonts w:asciiTheme="majorBidi" w:hAnsiTheme="majorBidi" w:cstheme="majorBidi"/>
          <w:sz w:val="24"/>
          <w:szCs w:val="24"/>
          <w:lang w:val="en-GB"/>
        </w:rPr>
        <w:t xml:space="preserve">onstitutivism </w:t>
      </w:r>
      <w:r w:rsidR="00C269CA">
        <w:rPr>
          <w:rFonts w:asciiTheme="majorBidi" w:hAnsiTheme="majorBidi" w:cstheme="majorBidi"/>
          <w:sz w:val="24"/>
          <w:szCs w:val="24"/>
          <w:lang w:val="en-GB"/>
        </w:rPr>
        <w:t>s</w:t>
      </w:r>
      <w:r w:rsidRPr="00F64509">
        <w:rPr>
          <w:rFonts w:asciiTheme="majorBidi" w:hAnsiTheme="majorBidi" w:cstheme="majorBidi"/>
          <w:sz w:val="24"/>
          <w:szCs w:val="24"/>
          <w:lang w:val="en-GB"/>
        </w:rPr>
        <w:t>tyle</w:t>
      </w:r>
      <w:r w:rsidR="00EC595A"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 </w:t>
      </w:r>
      <w:r w:rsidRPr="00F64509">
        <w:rPr>
          <w:rFonts w:asciiTheme="majorBidi" w:hAnsiTheme="majorBidi" w:cstheme="majorBidi"/>
          <w:i/>
          <w:sz w:val="24"/>
          <w:szCs w:val="24"/>
          <w:lang w:val="en-GB"/>
        </w:rPr>
        <w:t>Metaphilosophy</w:t>
      </w:r>
      <w:r w:rsidRPr="00F64509">
        <w:rPr>
          <w:rFonts w:asciiTheme="majorBidi" w:hAnsiTheme="majorBidi" w:cstheme="majorBidi"/>
          <w:sz w:val="24"/>
          <w:szCs w:val="24"/>
          <w:lang w:val="en-GB"/>
        </w:rPr>
        <w:t xml:space="preserve"> </w:t>
      </w:r>
      <w:r w:rsidRPr="00F64509">
        <w:rPr>
          <w:rFonts w:asciiTheme="majorBidi" w:hAnsiTheme="majorBidi" w:cstheme="majorBidi"/>
          <w:sz w:val="24"/>
          <w:szCs w:val="24"/>
          <w:shd w:val="clear" w:color="auto" w:fill="FFFFFF"/>
        </w:rPr>
        <w:t>52</w:t>
      </w:r>
      <w:r w:rsidR="00EC595A" w:rsidRPr="00F64509">
        <w:rPr>
          <w:rFonts w:asciiTheme="majorBidi" w:hAnsiTheme="majorBidi" w:cstheme="majorBidi"/>
          <w:sz w:val="24"/>
          <w:szCs w:val="24"/>
          <w:shd w:val="clear" w:color="auto" w:fill="FFFFFF"/>
        </w:rPr>
        <w:t>, pp.</w:t>
      </w:r>
      <w:r w:rsidRPr="00F64509">
        <w:rPr>
          <w:rFonts w:asciiTheme="majorBidi" w:hAnsiTheme="majorBidi" w:cstheme="majorBidi"/>
          <w:sz w:val="24"/>
          <w:szCs w:val="24"/>
          <w:shd w:val="clear" w:color="auto" w:fill="FFFFFF"/>
        </w:rPr>
        <w:t xml:space="preserve"> 402–415</w:t>
      </w:r>
      <w:r w:rsidRPr="00F64509">
        <w:rPr>
          <w:rFonts w:asciiTheme="majorBidi" w:hAnsiTheme="majorBidi" w:cstheme="majorBidi"/>
          <w:sz w:val="24"/>
          <w:szCs w:val="24"/>
          <w:lang w:val="en-GB"/>
        </w:rPr>
        <w:t>.</w:t>
      </w:r>
    </w:p>
    <w:p w14:paraId="2ECD2DFD" w14:textId="73959658" w:rsidR="00EC595A" w:rsidRPr="00F64509" w:rsidRDefault="00EC595A"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 xml:space="preserve">Coliva, A. and Pritchard, D. 2022 </w:t>
      </w:r>
      <w:r w:rsidRPr="00F64509">
        <w:rPr>
          <w:rFonts w:asciiTheme="majorBidi" w:hAnsiTheme="majorBidi" w:cstheme="majorBidi"/>
          <w:i/>
          <w:iCs/>
          <w:sz w:val="24"/>
          <w:szCs w:val="24"/>
          <w:lang w:val="en-GB"/>
        </w:rPr>
        <w:t>Skepticism</w:t>
      </w:r>
      <w:r w:rsidRPr="00F64509">
        <w:rPr>
          <w:rFonts w:asciiTheme="majorBidi" w:hAnsiTheme="majorBidi" w:cstheme="majorBidi"/>
          <w:sz w:val="24"/>
          <w:szCs w:val="24"/>
          <w:lang w:val="en-GB"/>
        </w:rPr>
        <w:t>, London-New York, Routledge.</w:t>
      </w:r>
    </w:p>
    <w:p w14:paraId="07F60D8B" w14:textId="36898F87" w:rsidR="00606D67" w:rsidRPr="00F64509" w:rsidRDefault="00606D67" w:rsidP="00F64509">
      <w:pPr>
        <w:spacing w:line="480" w:lineRule="auto"/>
        <w:ind w:left="720" w:hanging="720"/>
        <w:jc w:val="both"/>
        <w:textAlignment w:val="baseline"/>
        <w:rPr>
          <w:rFonts w:asciiTheme="majorBidi" w:hAnsiTheme="majorBidi" w:cstheme="majorBidi"/>
          <w:sz w:val="24"/>
          <w:szCs w:val="24"/>
          <w:lang w:val="en-GB"/>
        </w:rPr>
      </w:pPr>
      <w:r w:rsidRPr="00F64509">
        <w:rPr>
          <w:rFonts w:asciiTheme="majorBidi" w:eastAsia="Times New Roman" w:hAnsiTheme="majorBidi" w:cstheme="majorBidi"/>
          <w:sz w:val="24"/>
          <w:szCs w:val="24"/>
          <w:lang w:val="en-GB" w:eastAsia="it-IT"/>
        </w:rPr>
        <w:t xml:space="preserve">Dretske, F. 1970. </w:t>
      </w:r>
      <w:r w:rsidR="00B53A7E" w:rsidRPr="00F64509">
        <w:rPr>
          <w:rFonts w:asciiTheme="majorBidi" w:eastAsia="Times New Roman" w:hAnsiTheme="majorBidi" w:cstheme="majorBidi"/>
          <w:sz w:val="24"/>
          <w:szCs w:val="24"/>
          <w:lang w:val="en-GB" w:eastAsia="it-IT"/>
        </w:rPr>
        <w:t>‘</w:t>
      </w:r>
      <w:r w:rsidRPr="00F64509">
        <w:rPr>
          <w:rFonts w:asciiTheme="majorBidi" w:eastAsia="Times New Roman" w:hAnsiTheme="majorBidi" w:cstheme="majorBidi"/>
          <w:sz w:val="24"/>
          <w:szCs w:val="24"/>
          <w:lang w:val="en-GB" w:eastAsia="it-IT"/>
        </w:rPr>
        <w:t>Epistemic operators</w:t>
      </w:r>
      <w:r w:rsidR="00B53A7E" w:rsidRPr="00F64509">
        <w:rPr>
          <w:rFonts w:asciiTheme="majorBidi" w:eastAsia="Times New Roman" w:hAnsiTheme="majorBidi" w:cstheme="majorBidi"/>
          <w:sz w:val="24"/>
          <w:szCs w:val="24"/>
          <w:lang w:val="en-GB" w:eastAsia="it-IT"/>
        </w:rPr>
        <w:t>’</w:t>
      </w:r>
      <w:r w:rsidRPr="00F64509">
        <w:rPr>
          <w:rFonts w:asciiTheme="majorBidi" w:eastAsia="Times New Roman" w:hAnsiTheme="majorBidi" w:cstheme="majorBidi"/>
          <w:sz w:val="24"/>
          <w:szCs w:val="24"/>
          <w:lang w:val="en-GB" w:eastAsia="it-IT"/>
        </w:rPr>
        <w:t xml:space="preserve">, </w:t>
      </w:r>
      <w:r w:rsidRPr="00F64509">
        <w:rPr>
          <w:rFonts w:asciiTheme="majorBidi" w:hAnsiTheme="majorBidi" w:cstheme="majorBidi"/>
          <w:i/>
          <w:sz w:val="24"/>
          <w:szCs w:val="24"/>
          <w:lang w:val="en-GB"/>
        </w:rPr>
        <w:t>Journal of Philosophy</w:t>
      </w:r>
      <w:r w:rsidRPr="00F64509">
        <w:rPr>
          <w:rFonts w:asciiTheme="majorBidi" w:hAnsiTheme="majorBidi" w:cstheme="majorBidi"/>
          <w:sz w:val="24"/>
          <w:szCs w:val="24"/>
          <w:lang w:val="en-GB"/>
        </w:rPr>
        <w:t xml:space="preserve"> 67: 1007–1023.</w:t>
      </w:r>
    </w:p>
    <w:p w14:paraId="14EEEC32" w14:textId="77777777" w:rsidR="00EA4B48" w:rsidRPr="00F64509" w:rsidRDefault="00EA4B48"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Greco, J. 2016 “Common knowledge”, in A. Coliva and D. Moyal-Sharrock (eds.) </w:t>
      </w:r>
      <w:r w:rsidRPr="00F64509">
        <w:rPr>
          <w:rFonts w:asciiTheme="majorBidi" w:hAnsiTheme="majorBidi" w:cstheme="majorBidi"/>
          <w:i/>
          <w:iCs/>
          <w:sz w:val="24"/>
          <w:szCs w:val="24"/>
        </w:rPr>
        <w:t>Hinge Epistemology</w:t>
      </w:r>
      <w:r w:rsidRPr="00F64509">
        <w:rPr>
          <w:rFonts w:asciiTheme="majorBidi" w:hAnsiTheme="majorBidi" w:cstheme="majorBidi"/>
          <w:sz w:val="24"/>
          <w:szCs w:val="24"/>
        </w:rPr>
        <w:t>, Leiden, Brill, pp. 237-278.</w:t>
      </w:r>
    </w:p>
    <w:p w14:paraId="5BF3040A" w14:textId="1AE1D9B5" w:rsidR="00EA4B48" w:rsidRPr="00F64509" w:rsidRDefault="00EA4B48"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Greco, J. 2021 </w:t>
      </w:r>
      <w:r w:rsidRPr="00F64509">
        <w:rPr>
          <w:rFonts w:asciiTheme="majorBidi" w:hAnsiTheme="majorBidi" w:cstheme="majorBidi"/>
          <w:i/>
          <w:iCs/>
          <w:sz w:val="24"/>
          <w:szCs w:val="24"/>
        </w:rPr>
        <w:t>The Transmission of Knowledge</w:t>
      </w:r>
      <w:r w:rsidRPr="00F64509">
        <w:rPr>
          <w:rFonts w:asciiTheme="majorBidi" w:hAnsiTheme="majorBidi" w:cstheme="majorBidi"/>
          <w:sz w:val="24"/>
          <w:szCs w:val="24"/>
        </w:rPr>
        <w:t>, Cambridge, Cambridge University Press.</w:t>
      </w:r>
    </w:p>
    <w:p w14:paraId="4B8271D1" w14:textId="264FC9A1" w:rsidR="00606D67" w:rsidRPr="00F64509" w:rsidRDefault="00606D67"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Hertzberg, L. 1988 “On the attitude of trust”, </w:t>
      </w:r>
      <w:r w:rsidRPr="00F64509">
        <w:rPr>
          <w:rFonts w:asciiTheme="majorBidi" w:hAnsiTheme="majorBidi" w:cstheme="majorBidi"/>
          <w:i/>
          <w:sz w:val="24"/>
          <w:szCs w:val="24"/>
        </w:rPr>
        <w:t>Inquiry</w:t>
      </w:r>
      <w:r w:rsidRPr="00F64509">
        <w:rPr>
          <w:rFonts w:asciiTheme="majorBidi" w:hAnsiTheme="majorBidi" w:cstheme="majorBidi"/>
          <w:sz w:val="24"/>
          <w:szCs w:val="24"/>
        </w:rPr>
        <w:t xml:space="preserve"> 31/3, 307-322.</w:t>
      </w:r>
    </w:p>
    <w:p w14:paraId="5DF6DB83" w14:textId="5C5BB937" w:rsidR="00EA4B48" w:rsidRPr="00F64509" w:rsidRDefault="00EA4B48"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Kelp, C. 2019 “Inquiry and the transmission of knowledge”, Philosophy and Phenomenological Research XCIX/2, pp. 298-310.</w:t>
      </w:r>
    </w:p>
    <w:p w14:paraId="29A7E3B0" w14:textId="77777777"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eastAsia="Times New Roman" w:hAnsiTheme="majorBidi" w:cstheme="majorBidi"/>
          <w:sz w:val="24"/>
          <w:szCs w:val="24"/>
          <w:bdr w:val="none" w:sz="0" w:space="0" w:color="auto" w:frame="1"/>
        </w:rPr>
        <w:t xml:space="preserve">Kusch, M. 2013 “Annalisa Coliva on Wittgenstein and epistemic relativism”, </w:t>
      </w:r>
      <w:r w:rsidRPr="00F64509">
        <w:rPr>
          <w:rFonts w:asciiTheme="majorBidi" w:eastAsia="Times New Roman" w:hAnsiTheme="majorBidi" w:cstheme="majorBidi"/>
          <w:i/>
          <w:sz w:val="24"/>
          <w:szCs w:val="24"/>
          <w:bdr w:val="none" w:sz="0" w:space="0" w:color="auto" w:frame="1"/>
        </w:rPr>
        <w:t>Philosophia</w:t>
      </w:r>
      <w:r w:rsidRPr="00F64509">
        <w:rPr>
          <w:rFonts w:asciiTheme="majorBidi" w:eastAsia="Times New Roman" w:hAnsiTheme="majorBidi" w:cstheme="majorBidi"/>
          <w:sz w:val="24"/>
          <w:szCs w:val="24"/>
          <w:bdr w:val="none" w:sz="0" w:space="0" w:color="auto" w:frame="1"/>
        </w:rPr>
        <w:t xml:space="preserve"> 41/1, pp. 37-49.</w:t>
      </w:r>
    </w:p>
    <w:p w14:paraId="0B95B0BB" w14:textId="580B9736" w:rsidR="0017661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eastAsia="Times New Roman" w:hAnsiTheme="majorBidi" w:cstheme="majorBidi"/>
          <w:sz w:val="24"/>
          <w:szCs w:val="24"/>
          <w:bdr w:val="none" w:sz="0" w:space="0" w:color="auto" w:frame="1"/>
        </w:rPr>
        <w:t>Kusch, M. 2016</w:t>
      </w:r>
      <w:r w:rsidR="00176617" w:rsidRPr="00F64509">
        <w:rPr>
          <w:rFonts w:asciiTheme="majorBidi" w:eastAsia="Times New Roman" w:hAnsiTheme="majorBidi" w:cstheme="majorBidi"/>
          <w:sz w:val="24"/>
          <w:szCs w:val="24"/>
          <w:bdr w:val="none" w:sz="0" w:space="0" w:color="auto" w:frame="1"/>
        </w:rPr>
        <w:t>a</w:t>
      </w:r>
      <w:r w:rsidRPr="00F64509">
        <w:rPr>
          <w:rFonts w:asciiTheme="majorBidi" w:eastAsia="Times New Roman" w:hAnsiTheme="majorBidi" w:cstheme="majorBidi"/>
          <w:sz w:val="24"/>
          <w:szCs w:val="24"/>
          <w:bdr w:val="none" w:sz="0" w:space="0" w:color="auto" w:frame="1"/>
        </w:rPr>
        <w:t xml:space="preserve"> “Wittgenstein</w:t>
      </w:r>
      <w:r w:rsidR="00B53A7E" w:rsidRPr="00F64509">
        <w:rPr>
          <w:rFonts w:asciiTheme="majorBidi" w:eastAsia="Times New Roman" w:hAnsiTheme="majorBidi" w:cstheme="majorBidi"/>
          <w:sz w:val="24"/>
          <w:szCs w:val="24"/>
          <w:bdr w:val="none" w:sz="0" w:space="0" w:color="auto" w:frame="1"/>
        </w:rPr>
        <w:t>’</w:t>
      </w:r>
      <w:r w:rsidRPr="00F64509">
        <w:rPr>
          <w:rFonts w:asciiTheme="majorBidi" w:eastAsia="Times New Roman" w:hAnsiTheme="majorBidi" w:cstheme="majorBidi"/>
          <w:sz w:val="24"/>
          <w:szCs w:val="24"/>
          <w:bdr w:val="none" w:sz="0" w:space="0" w:color="auto" w:frame="1"/>
        </w:rPr>
        <w:t xml:space="preserve">s </w:t>
      </w:r>
      <w:r w:rsidRPr="00F64509">
        <w:rPr>
          <w:rFonts w:asciiTheme="majorBidi" w:eastAsia="Times New Roman" w:hAnsiTheme="majorBidi" w:cstheme="majorBidi"/>
          <w:i/>
          <w:sz w:val="24"/>
          <w:szCs w:val="24"/>
          <w:bdr w:val="none" w:sz="0" w:space="0" w:color="auto" w:frame="1"/>
        </w:rPr>
        <w:t>On Certainty</w:t>
      </w:r>
      <w:r w:rsidRPr="00F64509">
        <w:rPr>
          <w:rFonts w:asciiTheme="majorBidi" w:eastAsia="Times New Roman" w:hAnsiTheme="majorBidi" w:cstheme="majorBidi"/>
          <w:sz w:val="24"/>
          <w:szCs w:val="24"/>
          <w:bdr w:val="none" w:sz="0" w:space="0" w:color="auto" w:frame="1"/>
        </w:rPr>
        <w:t xml:space="preserve"> and relativism”, in H. A. Wiltsche and S. Rinofner-Kreidl (eds.) </w:t>
      </w:r>
      <w:r w:rsidRPr="00F64509">
        <w:rPr>
          <w:rFonts w:asciiTheme="majorBidi" w:eastAsia="Times New Roman" w:hAnsiTheme="majorBidi" w:cstheme="majorBidi"/>
          <w:i/>
          <w:sz w:val="24"/>
          <w:szCs w:val="24"/>
          <w:bdr w:val="none" w:sz="0" w:space="0" w:color="auto" w:frame="1"/>
        </w:rPr>
        <w:t>Proceedings of the 37</w:t>
      </w:r>
      <w:r w:rsidRPr="00F64509">
        <w:rPr>
          <w:rFonts w:asciiTheme="majorBidi" w:eastAsia="Times New Roman" w:hAnsiTheme="majorBidi" w:cstheme="majorBidi"/>
          <w:i/>
          <w:sz w:val="24"/>
          <w:szCs w:val="24"/>
          <w:bdr w:val="none" w:sz="0" w:space="0" w:color="auto" w:frame="1"/>
          <w:vertAlign w:val="superscript"/>
        </w:rPr>
        <w:t>th</w:t>
      </w:r>
      <w:r w:rsidRPr="00F64509">
        <w:rPr>
          <w:rFonts w:asciiTheme="majorBidi" w:eastAsia="Times New Roman" w:hAnsiTheme="majorBidi" w:cstheme="majorBidi"/>
          <w:i/>
          <w:sz w:val="24"/>
          <w:szCs w:val="24"/>
          <w:bdr w:val="none" w:sz="0" w:space="0" w:color="auto" w:frame="1"/>
        </w:rPr>
        <w:t xml:space="preserve"> International Wittgenstein Symposium</w:t>
      </w:r>
      <w:r w:rsidRPr="00F64509">
        <w:rPr>
          <w:rFonts w:asciiTheme="majorBidi" w:eastAsia="Times New Roman" w:hAnsiTheme="majorBidi" w:cstheme="majorBidi"/>
          <w:sz w:val="24"/>
          <w:szCs w:val="24"/>
          <w:bdr w:val="none" w:sz="0" w:space="0" w:color="auto" w:frame="1"/>
        </w:rPr>
        <w:t>, Berlin, De Gruyter, pp. 29-46.</w:t>
      </w:r>
    </w:p>
    <w:p w14:paraId="79D01353" w14:textId="0CFA397F"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hAnsiTheme="majorBidi" w:cstheme="majorBidi"/>
          <w:sz w:val="24"/>
          <w:szCs w:val="24"/>
          <w:lang w:val="en-GB"/>
        </w:rPr>
        <w:t xml:space="preserve">Kusch, M. 2016b. </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Wittgenstein on Mathematics and Certainty</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 in A. Coliva &amp; D. Moyal-Sharrock (eds.) </w:t>
      </w:r>
      <w:r w:rsidRPr="00F64509">
        <w:rPr>
          <w:rFonts w:asciiTheme="majorBidi" w:hAnsiTheme="majorBidi" w:cstheme="majorBidi"/>
          <w:i/>
          <w:sz w:val="24"/>
          <w:szCs w:val="24"/>
          <w:lang w:val="en-GB"/>
        </w:rPr>
        <w:t>Hinge Epistemology</w:t>
      </w:r>
      <w:r w:rsidRPr="00F64509">
        <w:rPr>
          <w:rFonts w:asciiTheme="majorBidi" w:hAnsiTheme="majorBidi" w:cstheme="majorBidi"/>
          <w:sz w:val="24"/>
          <w:szCs w:val="24"/>
          <w:lang w:val="en-GB"/>
        </w:rPr>
        <w:t>, Leiden, Brill, 48–71.</w:t>
      </w:r>
    </w:p>
    <w:p w14:paraId="3E824632" w14:textId="5B3CB007"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eastAsia="Times New Roman" w:hAnsiTheme="majorBidi" w:cstheme="majorBidi"/>
          <w:sz w:val="24"/>
          <w:szCs w:val="24"/>
          <w:bdr w:val="none" w:sz="0" w:space="0" w:color="auto" w:frame="1"/>
        </w:rPr>
        <w:t>Kusch, M. 2017 “When Paul met Ludwig: Wittgensteinian comments on Boghossian</w:t>
      </w:r>
      <w:r w:rsidR="00B53A7E" w:rsidRPr="00F64509">
        <w:rPr>
          <w:rFonts w:asciiTheme="majorBidi" w:eastAsia="Times New Roman" w:hAnsiTheme="majorBidi" w:cstheme="majorBidi"/>
          <w:sz w:val="24"/>
          <w:szCs w:val="24"/>
          <w:bdr w:val="none" w:sz="0" w:space="0" w:color="auto" w:frame="1"/>
        </w:rPr>
        <w:t>’</w:t>
      </w:r>
      <w:r w:rsidRPr="00F64509">
        <w:rPr>
          <w:rFonts w:asciiTheme="majorBidi" w:eastAsia="Times New Roman" w:hAnsiTheme="majorBidi" w:cstheme="majorBidi"/>
          <w:sz w:val="24"/>
          <w:szCs w:val="24"/>
          <w:bdr w:val="none" w:sz="0" w:space="0" w:color="auto" w:frame="1"/>
        </w:rPr>
        <w:t xml:space="preserve">s antirelativism”, in K. Neges, J. Mitterer, S. Kietzel and C. Kanzian (eds.) </w:t>
      </w:r>
      <w:r w:rsidRPr="00F64509">
        <w:rPr>
          <w:rFonts w:asciiTheme="majorBidi" w:eastAsia="Times New Roman" w:hAnsiTheme="majorBidi" w:cstheme="majorBidi"/>
          <w:i/>
          <w:sz w:val="24"/>
          <w:szCs w:val="24"/>
          <w:bdr w:val="none" w:sz="0" w:space="0" w:color="auto" w:frame="1"/>
        </w:rPr>
        <w:t>Proceedings of the 38</w:t>
      </w:r>
      <w:r w:rsidRPr="00F64509">
        <w:rPr>
          <w:rFonts w:asciiTheme="majorBidi" w:eastAsia="Times New Roman" w:hAnsiTheme="majorBidi" w:cstheme="majorBidi"/>
          <w:i/>
          <w:sz w:val="24"/>
          <w:szCs w:val="24"/>
          <w:bdr w:val="none" w:sz="0" w:space="0" w:color="auto" w:frame="1"/>
          <w:vertAlign w:val="superscript"/>
        </w:rPr>
        <w:t>th</w:t>
      </w:r>
      <w:r w:rsidRPr="00F64509">
        <w:rPr>
          <w:rFonts w:asciiTheme="majorBidi" w:eastAsia="Times New Roman" w:hAnsiTheme="majorBidi" w:cstheme="majorBidi"/>
          <w:i/>
          <w:sz w:val="24"/>
          <w:szCs w:val="24"/>
          <w:bdr w:val="none" w:sz="0" w:space="0" w:color="auto" w:frame="1"/>
        </w:rPr>
        <w:t xml:space="preserve"> International Wittgenstein Symposium</w:t>
      </w:r>
      <w:r w:rsidRPr="00F64509">
        <w:rPr>
          <w:rFonts w:asciiTheme="majorBidi" w:eastAsia="Times New Roman" w:hAnsiTheme="majorBidi" w:cstheme="majorBidi"/>
          <w:sz w:val="24"/>
          <w:szCs w:val="24"/>
          <w:bdr w:val="none" w:sz="0" w:space="0" w:color="auto" w:frame="1"/>
        </w:rPr>
        <w:t>, Berlin, De Gruyter, pp. 203-214.</w:t>
      </w:r>
    </w:p>
    <w:p w14:paraId="10421DBB" w14:textId="236ACD68"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eastAsia="Times New Roman" w:hAnsiTheme="majorBidi" w:cstheme="majorBidi"/>
          <w:sz w:val="24"/>
          <w:szCs w:val="24"/>
          <w:bdr w:val="none" w:sz="0" w:space="0" w:color="auto" w:frame="1"/>
        </w:rPr>
        <w:t xml:space="preserve">Lynch, M. </w:t>
      </w:r>
      <w:r w:rsidR="00D66941" w:rsidRPr="00F64509">
        <w:rPr>
          <w:rFonts w:asciiTheme="majorBidi" w:eastAsia="Times New Roman" w:hAnsiTheme="majorBidi" w:cstheme="majorBidi"/>
          <w:sz w:val="24"/>
          <w:szCs w:val="24"/>
          <w:bdr w:val="none" w:sz="0" w:space="0" w:color="auto" w:frame="1"/>
        </w:rPr>
        <w:t xml:space="preserve">2016 </w:t>
      </w:r>
      <w:r w:rsidRPr="00F64509">
        <w:rPr>
          <w:rFonts w:asciiTheme="majorBidi" w:eastAsia="Times New Roman" w:hAnsiTheme="majorBidi" w:cstheme="majorBidi"/>
          <w:sz w:val="24"/>
          <w:szCs w:val="24"/>
          <w:bdr w:val="none" w:sz="0" w:space="0" w:color="auto" w:frame="1"/>
        </w:rPr>
        <w:t xml:space="preserve">“After the spade turns. Disagreement, first principles and epistemic contractarianism”, </w:t>
      </w:r>
      <w:r w:rsidRPr="00F64509">
        <w:rPr>
          <w:rFonts w:asciiTheme="majorBidi" w:eastAsia="Times New Roman" w:hAnsiTheme="majorBidi" w:cstheme="majorBidi"/>
          <w:i/>
          <w:sz w:val="24"/>
          <w:szCs w:val="24"/>
          <w:bdr w:val="none" w:sz="0" w:space="0" w:color="auto" w:frame="1"/>
        </w:rPr>
        <w:t>International Journal for the Study of Philosophical Scepticism</w:t>
      </w:r>
      <w:r w:rsidRPr="00F64509">
        <w:rPr>
          <w:rFonts w:asciiTheme="majorBidi" w:eastAsia="Times New Roman" w:hAnsiTheme="majorBidi" w:cstheme="majorBidi"/>
          <w:sz w:val="24"/>
          <w:szCs w:val="24"/>
          <w:bdr w:val="none" w:sz="0" w:space="0" w:color="auto" w:frame="1"/>
        </w:rPr>
        <w:t xml:space="preserve"> 6, </w:t>
      </w:r>
      <w:r w:rsidRPr="00F64509">
        <w:rPr>
          <w:rFonts w:asciiTheme="majorBidi" w:eastAsia="Times New Roman" w:hAnsiTheme="majorBidi" w:cstheme="majorBidi"/>
          <w:sz w:val="24"/>
          <w:szCs w:val="24"/>
          <w:bdr w:val="none" w:sz="0" w:space="0" w:color="auto" w:frame="1"/>
        </w:rPr>
        <w:lastRenderedPageBreak/>
        <w:t xml:space="preserve">pp. 248-259. Reprinted in Coliva, A. and Moyal-Sharrock, D. (eds.) </w:t>
      </w:r>
      <w:r w:rsidRPr="00F64509">
        <w:rPr>
          <w:rFonts w:asciiTheme="majorBidi" w:eastAsia="Times New Roman" w:hAnsiTheme="majorBidi" w:cstheme="majorBidi"/>
          <w:i/>
          <w:sz w:val="24"/>
          <w:szCs w:val="24"/>
          <w:bdr w:val="none" w:sz="0" w:space="0" w:color="auto" w:frame="1"/>
        </w:rPr>
        <w:t>Hinge Epistemology</w:t>
      </w:r>
      <w:r w:rsidRPr="00F64509">
        <w:rPr>
          <w:rFonts w:asciiTheme="majorBidi" w:eastAsia="Times New Roman" w:hAnsiTheme="majorBidi" w:cstheme="majorBidi"/>
          <w:sz w:val="24"/>
          <w:szCs w:val="24"/>
          <w:bdr w:val="none" w:sz="0" w:space="0" w:color="auto" w:frame="1"/>
        </w:rPr>
        <w:t>, Brill, 2016, pp. 176-187.</w:t>
      </w:r>
    </w:p>
    <w:p w14:paraId="740731CE" w14:textId="77777777" w:rsidR="00C85B3B" w:rsidRDefault="00490A07" w:rsidP="00C85B3B">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eastAsia="Times New Roman" w:hAnsiTheme="majorBidi" w:cstheme="majorBidi"/>
          <w:sz w:val="24"/>
          <w:szCs w:val="24"/>
          <w:bdr w:val="none" w:sz="0" w:space="0" w:color="auto" w:frame="1"/>
          <w:lang w:val="en-GB"/>
        </w:rPr>
        <w:t xml:space="preserve">McGinn, M. 1989. </w:t>
      </w:r>
      <w:r w:rsidRPr="00F64509">
        <w:rPr>
          <w:rFonts w:asciiTheme="majorBidi" w:eastAsia="Times New Roman" w:hAnsiTheme="majorBidi" w:cstheme="majorBidi"/>
          <w:i/>
          <w:sz w:val="24"/>
          <w:szCs w:val="24"/>
          <w:bdr w:val="none" w:sz="0" w:space="0" w:color="auto" w:frame="1"/>
          <w:lang w:val="en-GB"/>
        </w:rPr>
        <w:t>Sense and Certainty: A Dissolution of Scepticism</w:t>
      </w:r>
      <w:r w:rsidRPr="00F64509">
        <w:rPr>
          <w:rFonts w:asciiTheme="majorBidi" w:eastAsia="Times New Roman" w:hAnsiTheme="majorBidi" w:cstheme="majorBidi"/>
          <w:sz w:val="24"/>
          <w:szCs w:val="24"/>
          <w:bdr w:val="none" w:sz="0" w:space="0" w:color="auto" w:frame="1"/>
          <w:lang w:val="en-GB"/>
        </w:rPr>
        <w:t>, Oxford: Blackwell.</w:t>
      </w:r>
    </w:p>
    <w:p w14:paraId="7328A68A" w14:textId="1D52294D" w:rsidR="009D032C" w:rsidRPr="00C85B3B" w:rsidRDefault="009D032C" w:rsidP="00C85B3B">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hAnsiTheme="majorBidi" w:cstheme="majorBidi"/>
          <w:sz w:val="24"/>
          <w:szCs w:val="24"/>
          <w:shd w:val="clear" w:color="auto" w:fill="FFFFFF"/>
          <w:lang w:val="en-GB"/>
        </w:rPr>
        <w:t>Moore, G. E. 1939</w:t>
      </w:r>
      <w:r w:rsidRPr="00F64509">
        <w:rPr>
          <w:rFonts w:asciiTheme="majorBidi" w:eastAsia="Times New Roman" w:hAnsiTheme="majorBidi" w:cstheme="majorBidi"/>
          <w:sz w:val="24"/>
          <w:szCs w:val="24"/>
          <w:lang w:val="en-GB" w:eastAsia="en-GB"/>
        </w:rPr>
        <w:t xml:space="preserve"> </w:t>
      </w:r>
      <w:r w:rsidR="00490A07"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Proof of an External World</w:t>
      </w:r>
      <w:r w:rsidR="00490A07"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 xml:space="preserve"> in</w:t>
      </w:r>
      <w:r w:rsidR="00490A07" w:rsidRPr="00F64509">
        <w:rPr>
          <w:rFonts w:asciiTheme="majorBidi" w:hAnsiTheme="majorBidi" w:cstheme="majorBidi"/>
          <w:sz w:val="24"/>
          <w:szCs w:val="24"/>
          <w:shd w:val="clear" w:color="auto" w:fill="FFFFFF"/>
          <w:lang w:val="en-GB"/>
        </w:rPr>
        <w:t xml:space="preserve"> his</w:t>
      </w:r>
      <w:r w:rsidRPr="00F64509">
        <w:rPr>
          <w:rFonts w:asciiTheme="majorBidi" w:hAnsiTheme="majorBidi" w:cstheme="majorBidi"/>
          <w:sz w:val="24"/>
          <w:szCs w:val="24"/>
          <w:shd w:val="clear" w:color="auto" w:fill="FFFFFF"/>
          <w:lang w:val="en-GB"/>
        </w:rPr>
        <w:t xml:space="preserve"> </w:t>
      </w:r>
      <w:r w:rsidRPr="00F64509">
        <w:rPr>
          <w:rFonts w:asciiTheme="majorBidi" w:hAnsiTheme="majorBidi" w:cstheme="majorBidi"/>
          <w:i/>
          <w:sz w:val="24"/>
          <w:szCs w:val="24"/>
          <w:shd w:val="clear" w:color="auto" w:fill="FFFFFF"/>
          <w:lang w:val="en-GB"/>
        </w:rPr>
        <w:t>Philosophical Papers</w:t>
      </w:r>
      <w:r w:rsidRPr="00F64509">
        <w:rPr>
          <w:rFonts w:asciiTheme="majorBidi" w:hAnsiTheme="majorBidi" w:cstheme="majorBidi"/>
          <w:sz w:val="24"/>
          <w:szCs w:val="24"/>
          <w:shd w:val="clear" w:color="auto" w:fill="FFFFFF"/>
          <w:lang w:val="en-GB"/>
        </w:rPr>
        <w:t xml:space="preserve"> (London: George Unwin, 1959), 127-150. </w:t>
      </w:r>
    </w:p>
    <w:p w14:paraId="67FEDA88" w14:textId="0B9720AE" w:rsidR="00296E4D" w:rsidRPr="00F64509" w:rsidRDefault="00660C33" w:rsidP="00F64509">
      <w:pPr>
        <w:shd w:val="clear" w:color="auto" w:fill="FFFFFF"/>
        <w:spacing w:line="480" w:lineRule="auto"/>
        <w:ind w:left="720" w:hanging="720"/>
        <w:jc w:val="both"/>
        <w:rPr>
          <w:rFonts w:asciiTheme="majorBidi" w:hAnsiTheme="majorBidi" w:cstheme="majorBidi"/>
          <w:sz w:val="24"/>
          <w:szCs w:val="24"/>
          <w:shd w:val="clear" w:color="auto" w:fill="FFFFFF"/>
          <w:lang w:val="en-GB"/>
        </w:rPr>
      </w:pPr>
      <w:r w:rsidRPr="00F64509">
        <w:rPr>
          <w:rFonts w:asciiTheme="majorBidi" w:hAnsiTheme="majorBidi" w:cstheme="majorBidi"/>
          <w:sz w:val="24"/>
          <w:szCs w:val="24"/>
          <w:shd w:val="clear" w:color="auto" w:fill="FFFFFF"/>
          <w:lang w:val="en-GB"/>
        </w:rPr>
        <w:t xml:space="preserve">Moyal-Sharrock, D. 2002 </w:t>
      </w:r>
      <w:r w:rsidR="00B53A7E"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The Third Wittgenstein &amp; the Category Mistake of Philosophical Scepticism</w:t>
      </w:r>
      <w:r w:rsidR="00B53A7E"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 xml:space="preserve"> in </w:t>
      </w:r>
      <w:r w:rsidRPr="00F64509">
        <w:rPr>
          <w:rFonts w:asciiTheme="majorBidi" w:hAnsiTheme="majorBidi" w:cstheme="majorBidi"/>
          <w:i/>
          <w:sz w:val="24"/>
          <w:szCs w:val="24"/>
          <w:shd w:val="clear" w:color="auto" w:fill="FFFFFF"/>
          <w:lang w:val="en-GB"/>
        </w:rPr>
        <w:t>Wittgenstein and the Future of Philosophy. A Reassessment after 50 years</w:t>
      </w:r>
      <w:r w:rsidRPr="00F64509">
        <w:rPr>
          <w:rFonts w:asciiTheme="majorBidi" w:hAnsiTheme="majorBidi" w:cstheme="majorBidi"/>
          <w:sz w:val="24"/>
          <w:szCs w:val="24"/>
          <w:shd w:val="clear" w:color="auto" w:fill="FFFFFF"/>
          <w:lang w:val="en-GB"/>
        </w:rPr>
        <w:t>, edited by R. Haller &amp; K. Puhl (Vienna: oeb&amp;hpt, 2002), 293-305.</w:t>
      </w:r>
    </w:p>
    <w:p w14:paraId="42ED6A07" w14:textId="24C98DB6" w:rsidR="00660C33" w:rsidRPr="00F64509" w:rsidRDefault="00660C33" w:rsidP="00F64509">
      <w:pPr>
        <w:shd w:val="clear" w:color="auto" w:fill="FFFFFF"/>
        <w:spacing w:line="480" w:lineRule="auto"/>
        <w:ind w:left="720" w:hanging="720"/>
        <w:jc w:val="both"/>
        <w:rPr>
          <w:rFonts w:asciiTheme="majorBidi" w:hAnsiTheme="majorBidi" w:cstheme="majorBidi"/>
          <w:sz w:val="24"/>
          <w:szCs w:val="24"/>
          <w:shd w:val="clear" w:color="auto" w:fill="FFFFFF"/>
          <w:lang w:val="en-GB"/>
        </w:rPr>
      </w:pPr>
      <w:r w:rsidRPr="00F64509">
        <w:rPr>
          <w:rFonts w:asciiTheme="majorBidi" w:hAnsiTheme="majorBidi" w:cstheme="majorBidi"/>
          <w:sz w:val="24"/>
          <w:szCs w:val="24"/>
          <w:shd w:val="clear" w:color="auto" w:fill="FFFFFF"/>
          <w:lang w:val="en-GB"/>
        </w:rPr>
        <w:t>Moyal-Sharrock, D. 2003</w:t>
      </w:r>
      <w:r w:rsidRPr="00F64509">
        <w:rPr>
          <w:rFonts w:asciiTheme="majorBidi" w:hAnsiTheme="majorBidi" w:cstheme="majorBidi"/>
          <w:b/>
          <w:bCs/>
          <w:sz w:val="24"/>
          <w:szCs w:val="24"/>
          <w:shd w:val="clear" w:color="auto" w:fill="FFFFFF"/>
          <w:lang w:val="en-GB"/>
        </w:rPr>
        <w:t xml:space="preserve"> </w:t>
      </w:r>
      <w:r w:rsidR="00B53A7E"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Logic in Action: Wittgenstein</w:t>
      </w:r>
      <w:r w:rsidR="00B53A7E"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 xml:space="preserve">s </w:t>
      </w:r>
      <w:r w:rsidRPr="00F64509">
        <w:rPr>
          <w:rFonts w:asciiTheme="majorBidi" w:hAnsiTheme="majorBidi" w:cstheme="majorBidi"/>
          <w:i/>
          <w:iCs/>
          <w:sz w:val="24"/>
          <w:szCs w:val="24"/>
          <w:shd w:val="clear" w:color="auto" w:fill="FFFFFF"/>
          <w:lang w:val="en-GB"/>
        </w:rPr>
        <w:t>Logical Pragmatism</w:t>
      </w:r>
      <w:r w:rsidRPr="00F64509">
        <w:rPr>
          <w:rFonts w:asciiTheme="majorBidi" w:hAnsiTheme="majorBidi" w:cstheme="majorBidi"/>
          <w:sz w:val="24"/>
          <w:szCs w:val="24"/>
          <w:shd w:val="clear" w:color="auto" w:fill="FFFFFF"/>
          <w:lang w:val="en-GB"/>
        </w:rPr>
        <w:t xml:space="preserve"> and the Impotence of Scepticism</w:t>
      </w:r>
      <w:r w:rsidR="00B53A7E" w:rsidRPr="00F64509">
        <w:rPr>
          <w:rFonts w:asciiTheme="majorBidi" w:hAnsiTheme="majorBidi" w:cstheme="majorBidi"/>
          <w:sz w:val="24"/>
          <w:szCs w:val="24"/>
          <w:shd w:val="clear" w:color="auto" w:fill="FFFFFF"/>
          <w:lang w:val="en-GB"/>
        </w:rPr>
        <w:t>’</w:t>
      </w:r>
      <w:r w:rsidRPr="00F64509">
        <w:rPr>
          <w:rFonts w:asciiTheme="majorBidi" w:hAnsiTheme="majorBidi" w:cstheme="majorBidi"/>
          <w:sz w:val="24"/>
          <w:szCs w:val="24"/>
          <w:shd w:val="clear" w:color="auto" w:fill="FFFFFF"/>
          <w:lang w:val="en-GB"/>
        </w:rPr>
        <w:t xml:space="preserve"> </w:t>
      </w:r>
      <w:r w:rsidRPr="00F64509">
        <w:rPr>
          <w:rFonts w:asciiTheme="majorBidi" w:hAnsiTheme="majorBidi" w:cstheme="majorBidi"/>
          <w:i/>
          <w:sz w:val="24"/>
          <w:szCs w:val="24"/>
          <w:shd w:val="clear" w:color="auto" w:fill="FFFFFF"/>
          <w:lang w:val="en-GB"/>
        </w:rPr>
        <w:t>Philosophical Investigations</w:t>
      </w:r>
      <w:r w:rsidRPr="00F64509">
        <w:rPr>
          <w:rFonts w:asciiTheme="majorBidi" w:hAnsiTheme="majorBidi" w:cstheme="majorBidi"/>
          <w:sz w:val="24"/>
          <w:szCs w:val="24"/>
          <w:shd w:val="clear" w:color="auto" w:fill="FFFFFF"/>
          <w:lang w:val="en-GB"/>
        </w:rPr>
        <w:t xml:space="preserve"> 26:2 (April 2003), 125-148.</w:t>
      </w:r>
    </w:p>
    <w:p w14:paraId="6D021E51" w14:textId="08B424AF" w:rsidR="00606D67" w:rsidRPr="00F64509" w:rsidRDefault="00606D67" w:rsidP="00F64509">
      <w:pPr>
        <w:shd w:val="clear" w:color="auto" w:fill="FFFFFF"/>
        <w:spacing w:line="480" w:lineRule="auto"/>
        <w:ind w:left="720" w:hanging="720"/>
        <w:jc w:val="both"/>
        <w:rPr>
          <w:rFonts w:asciiTheme="majorBidi" w:hAnsiTheme="majorBidi" w:cstheme="majorBidi"/>
          <w:sz w:val="24"/>
          <w:szCs w:val="24"/>
          <w:shd w:val="clear" w:color="auto" w:fill="FFFFFF"/>
        </w:rPr>
      </w:pPr>
      <w:r w:rsidRPr="00F64509">
        <w:rPr>
          <w:rFonts w:asciiTheme="majorBidi" w:hAnsiTheme="majorBidi" w:cstheme="majorBidi"/>
          <w:sz w:val="24"/>
          <w:szCs w:val="24"/>
          <w:shd w:val="clear" w:color="auto" w:fill="FFFFFF"/>
        </w:rPr>
        <w:t xml:space="preserve">Moyal-Sharrock, D. 2005 </w:t>
      </w:r>
      <w:r w:rsidRPr="00F64509">
        <w:rPr>
          <w:rFonts w:asciiTheme="majorBidi" w:hAnsiTheme="majorBidi" w:cstheme="majorBidi"/>
          <w:i/>
          <w:sz w:val="24"/>
          <w:szCs w:val="24"/>
          <w:shd w:val="clear" w:color="auto" w:fill="FFFFFF"/>
        </w:rPr>
        <w:t>Understanding Wittgenstein</w:t>
      </w:r>
      <w:r w:rsidR="00B53A7E" w:rsidRPr="00F64509">
        <w:rPr>
          <w:rFonts w:asciiTheme="majorBidi" w:hAnsiTheme="majorBidi" w:cstheme="majorBidi"/>
          <w:i/>
          <w:sz w:val="24"/>
          <w:szCs w:val="24"/>
          <w:shd w:val="clear" w:color="auto" w:fill="FFFFFF"/>
        </w:rPr>
        <w:t>’</w:t>
      </w:r>
      <w:r w:rsidRPr="00F64509">
        <w:rPr>
          <w:rFonts w:asciiTheme="majorBidi" w:hAnsiTheme="majorBidi" w:cstheme="majorBidi"/>
          <w:i/>
          <w:sz w:val="24"/>
          <w:szCs w:val="24"/>
          <w:shd w:val="clear" w:color="auto" w:fill="FFFFFF"/>
        </w:rPr>
        <w:t>s</w:t>
      </w:r>
      <w:r w:rsidRPr="00F64509">
        <w:rPr>
          <w:rFonts w:asciiTheme="majorBidi" w:hAnsiTheme="majorBidi" w:cstheme="majorBidi"/>
          <w:sz w:val="24"/>
          <w:szCs w:val="24"/>
          <w:shd w:val="clear" w:color="auto" w:fill="FFFFFF"/>
        </w:rPr>
        <w:t xml:space="preserve"> On Certainty, London, Palgrave.</w:t>
      </w:r>
    </w:p>
    <w:p w14:paraId="50AA0100" w14:textId="618C38BD" w:rsidR="002322CB" w:rsidRPr="00F64509" w:rsidRDefault="002322CB" w:rsidP="00F64509">
      <w:pPr>
        <w:widowControl w:val="0"/>
        <w:autoSpaceDE w:val="0"/>
        <w:autoSpaceDN w:val="0"/>
        <w:adjustRightInd w:val="0"/>
        <w:spacing w:line="480" w:lineRule="auto"/>
        <w:ind w:left="720" w:hanging="720"/>
        <w:jc w:val="both"/>
        <w:rPr>
          <w:rFonts w:asciiTheme="majorBidi" w:eastAsiaTheme="minorEastAsia" w:hAnsiTheme="majorBidi" w:cstheme="majorBidi"/>
          <w:bCs/>
          <w:sz w:val="24"/>
          <w:szCs w:val="24"/>
          <w:lang w:val="en-GB"/>
        </w:rPr>
      </w:pPr>
      <w:r w:rsidRPr="00F64509">
        <w:rPr>
          <w:rFonts w:asciiTheme="majorBidi" w:eastAsiaTheme="minorEastAsia" w:hAnsiTheme="majorBidi" w:cstheme="majorBidi"/>
          <w:bCs/>
          <w:sz w:val="24"/>
          <w:szCs w:val="24"/>
          <w:lang w:val="en-GB"/>
        </w:rPr>
        <w:t xml:space="preserve">Moyal-Sharrock, D. 2017 </w:t>
      </w:r>
      <w:r w:rsidR="00B53A7E" w:rsidRPr="00F64509">
        <w:rPr>
          <w:rFonts w:asciiTheme="majorBidi" w:eastAsiaTheme="minorEastAsia" w:hAnsiTheme="majorBidi" w:cstheme="majorBidi"/>
          <w:bCs/>
          <w:sz w:val="24"/>
          <w:szCs w:val="24"/>
          <w:lang w:val="en-GB"/>
        </w:rPr>
        <w:t>‘</w:t>
      </w:r>
      <w:r w:rsidRPr="00F64509">
        <w:rPr>
          <w:rFonts w:asciiTheme="majorBidi" w:eastAsiaTheme="minorEastAsia" w:hAnsiTheme="majorBidi" w:cstheme="majorBidi"/>
          <w:sz w:val="24"/>
          <w:szCs w:val="24"/>
          <w:lang w:val="en-GB"/>
        </w:rPr>
        <w:t>Fighting Relativism: Wittgenstein &amp; Kuhn</w:t>
      </w:r>
      <w:r w:rsidR="00B53A7E" w:rsidRPr="00F64509">
        <w:rPr>
          <w:rFonts w:asciiTheme="majorBidi" w:eastAsiaTheme="minorEastAsia" w:hAnsiTheme="majorBidi" w:cstheme="majorBidi"/>
          <w:sz w:val="24"/>
          <w:szCs w:val="24"/>
          <w:lang w:val="en-GB"/>
        </w:rPr>
        <w:t>’</w:t>
      </w:r>
      <w:r w:rsidRPr="00F64509">
        <w:rPr>
          <w:rFonts w:asciiTheme="majorBidi" w:eastAsiaTheme="minorEastAsia" w:hAnsiTheme="majorBidi" w:cstheme="majorBidi"/>
          <w:sz w:val="24"/>
          <w:szCs w:val="24"/>
          <w:lang w:val="en-GB"/>
        </w:rPr>
        <w:t xml:space="preserve"> in </w:t>
      </w:r>
      <w:r w:rsidRPr="00F64509">
        <w:rPr>
          <w:rFonts w:asciiTheme="majorBidi" w:eastAsiaTheme="minorEastAsia" w:hAnsiTheme="majorBidi" w:cstheme="majorBidi"/>
          <w:i/>
          <w:iCs/>
          <w:sz w:val="24"/>
          <w:szCs w:val="24"/>
          <w:lang w:val="en-GB"/>
        </w:rPr>
        <w:t>Realism - Relativism – Constructivism</w:t>
      </w:r>
      <w:r w:rsidRPr="00F64509">
        <w:rPr>
          <w:rFonts w:asciiTheme="majorBidi" w:eastAsiaTheme="minorEastAsia" w:hAnsiTheme="majorBidi" w:cstheme="majorBidi"/>
          <w:sz w:val="24"/>
          <w:szCs w:val="24"/>
          <w:lang w:val="en-GB"/>
        </w:rPr>
        <w:t>, eds. C</w:t>
      </w:r>
      <w:r w:rsidRPr="00F64509">
        <w:rPr>
          <w:rFonts w:asciiTheme="majorBidi" w:eastAsiaTheme="minorEastAsia" w:hAnsiTheme="majorBidi" w:cstheme="majorBidi"/>
          <w:bCs/>
          <w:sz w:val="24"/>
          <w:szCs w:val="24"/>
          <w:lang w:val="en-GB"/>
        </w:rPr>
        <w:t>. Kanzian et al. (Walter de Gruyter, 2017), 215-32</w:t>
      </w:r>
      <w:r w:rsidR="000874A4" w:rsidRPr="00F64509">
        <w:rPr>
          <w:rFonts w:asciiTheme="majorBidi" w:eastAsiaTheme="minorEastAsia" w:hAnsiTheme="majorBidi" w:cstheme="majorBidi"/>
          <w:bCs/>
          <w:sz w:val="24"/>
          <w:szCs w:val="24"/>
          <w:lang w:val="en-GB"/>
        </w:rPr>
        <w:t xml:space="preserve">; rpt in </w:t>
      </w:r>
      <w:r w:rsidR="000874A4" w:rsidRPr="003F068D">
        <w:rPr>
          <w:rFonts w:asciiTheme="majorBidi" w:eastAsiaTheme="minorEastAsia" w:hAnsiTheme="majorBidi" w:cstheme="majorBidi"/>
          <w:bCs/>
          <w:i/>
          <w:iCs/>
          <w:sz w:val="24"/>
          <w:szCs w:val="24"/>
          <w:lang w:val="en-GB"/>
        </w:rPr>
        <w:t>Certainty in Action: Wittgenstein on Language, Mind and Epistemology</w:t>
      </w:r>
      <w:r w:rsidR="000874A4" w:rsidRPr="00F64509">
        <w:rPr>
          <w:rFonts w:asciiTheme="majorBidi" w:eastAsiaTheme="minorEastAsia" w:hAnsiTheme="majorBidi" w:cstheme="majorBidi"/>
          <w:bCs/>
          <w:sz w:val="24"/>
          <w:szCs w:val="24"/>
          <w:lang w:val="en-GB"/>
        </w:rPr>
        <w:t xml:space="preserve"> (London: Bloomsbury, 2021), 169-180.</w:t>
      </w:r>
    </w:p>
    <w:p w14:paraId="0A765029" w14:textId="77777777" w:rsidR="006640F2" w:rsidRDefault="008844F8" w:rsidP="006640F2">
      <w:pPr>
        <w:widowControl w:val="0"/>
        <w:autoSpaceDE w:val="0"/>
        <w:autoSpaceDN w:val="0"/>
        <w:adjustRightInd w:val="0"/>
        <w:spacing w:line="480" w:lineRule="auto"/>
        <w:ind w:left="720" w:hanging="720"/>
        <w:jc w:val="both"/>
        <w:rPr>
          <w:rFonts w:asciiTheme="majorBidi" w:eastAsiaTheme="minorEastAsia" w:hAnsiTheme="majorBidi" w:cstheme="majorBidi"/>
          <w:sz w:val="24"/>
          <w:szCs w:val="24"/>
        </w:rPr>
      </w:pPr>
      <w:r w:rsidRPr="00F64509">
        <w:rPr>
          <w:rFonts w:asciiTheme="majorBidi" w:eastAsiaTheme="minorEastAsia" w:hAnsiTheme="majorBidi" w:cstheme="majorBidi"/>
          <w:sz w:val="24"/>
          <w:szCs w:val="24"/>
        </w:rPr>
        <w:t xml:space="preserve">Moyal-Sharrock, D. 2021 </w:t>
      </w:r>
      <w:r w:rsidRPr="00F64509">
        <w:rPr>
          <w:rFonts w:asciiTheme="majorBidi" w:eastAsiaTheme="minorEastAsia" w:hAnsiTheme="majorBidi" w:cstheme="majorBidi"/>
          <w:i/>
          <w:iCs/>
          <w:sz w:val="24"/>
          <w:szCs w:val="24"/>
        </w:rPr>
        <w:t>Certainty in Action. Wittgenstein on Language, Mind and Epistemology</w:t>
      </w:r>
      <w:r w:rsidRPr="00F64509">
        <w:rPr>
          <w:rFonts w:asciiTheme="majorBidi" w:eastAsiaTheme="minorEastAsia" w:hAnsiTheme="majorBidi" w:cstheme="majorBidi"/>
          <w:sz w:val="24"/>
          <w:szCs w:val="24"/>
        </w:rPr>
        <w:t>, London, Bloomsbury.</w:t>
      </w:r>
    </w:p>
    <w:p w14:paraId="4E65CC12" w14:textId="14BD8A59" w:rsidR="00CD53F8" w:rsidRPr="00CD53F8" w:rsidRDefault="00CD53F8" w:rsidP="00CD53F8">
      <w:pPr>
        <w:widowControl w:val="0"/>
        <w:autoSpaceDE w:val="0"/>
        <w:autoSpaceDN w:val="0"/>
        <w:adjustRightInd w:val="0"/>
        <w:spacing w:line="480" w:lineRule="auto"/>
        <w:ind w:left="720" w:hanging="720"/>
        <w:jc w:val="both"/>
        <w:rPr>
          <w:rFonts w:asciiTheme="majorBidi" w:eastAsiaTheme="minorEastAsia" w:hAnsiTheme="majorBidi" w:cstheme="majorBidi"/>
          <w:i/>
          <w:iCs/>
          <w:sz w:val="24"/>
          <w:szCs w:val="24"/>
          <w:lang w:val="en-GB"/>
        </w:rPr>
      </w:pPr>
      <w:r>
        <w:rPr>
          <w:rFonts w:asciiTheme="majorBidi" w:eastAsiaTheme="minorEastAsia" w:hAnsiTheme="majorBidi" w:cstheme="majorBidi"/>
          <w:sz w:val="24"/>
          <w:szCs w:val="24"/>
        </w:rPr>
        <w:t xml:space="preserve">Moyal-Sharrock, D. Forthcoming ‘Religious Hinges and Epistemic Relativism’ in </w:t>
      </w:r>
      <w:r w:rsidRPr="00CD53F8">
        <w:rPr>
          <w:rFonts w:asciiTheme="majorBidi" w:eastAsiaTheme="minorEastAsia" w:hAnsiTheme="majorBidi" w:cstheme="majorBidi"/>
          <w:i/>
          <w:iCs/>
          <w:sz w:val="24"/>
          <w:szCs w:val="24"/>
          <w:lang w:val="en-GB"/>
        </w:rPr>
        <w:t>The Nature of Religious Belief in Wittgenstein’s Philosophy</w:t>
      </w:r>
      <w:r w:rsidRPr="00CD53F8">
        <w:rPr>
          <w:rFonts w:asciiTheme="majorBidi" w:eastAsiaTheme="minorEastAsia" w:hAnsiTheme="majorBidi" w:cstheme="majorBidi"/>
          <w:sz w:val="24"/>
          <w:szCs w:val="24"/>
          <w:lang w:val="en-GB"/>
        </w:rPr>
        <w:t>, eds Arnswald, U. &amp; Jareño-Alarcón J.</w:t>
      </w:r>
    </w:p>
    <w:p w14:paraId="7D8C0738" w14:textId="186DFBE9" w:rsidR="00CD53F8" w:rsidRPr="00CD53F8" w:rsidRDefault="006640F2" w:rsidP="00CD53F8">
      <w:pPr>
        <w:widowControl w:val="0"/>
        <w:autoSpaceDE w:val="0"/>
        <w:autoSpaceDN w:val="0"/>
        <w:adjustRightInd w:val="0"/>
        <w:spacing w:line="480" w:lineRule="auto"/>
        <w:ind w:left="720" w:hanging="720"/>
        <w:jc w:val="both"/>
        <w:rPr>
          <w:rFonts w:asciiTheme="majorBidi" w:eastAsiaTheme="minorEastAsia" w:hAnsiTheme="majorBidi" w:cstheme="majorBidi"/>
          <w:sz w:val="24"/>
          <w:szCs w:val="24"/>
          <w:lang w:val="en-GB"/>
        </w:rPr>
      </w:pPr>
      <w:r w:rsidRPr="00F64509">
        <w:rPr>
          <w:rFonts w:asciiTheme="majorBidi" w:eastAsiaTheme="minorEastAsia" w:hAnsiTheme="majorBidi" w:cstheme="majorBidi"/>
          <w:sz w:val="24"/>
          <w:szCs w:val="24"/>
        </w:rPr>
        <w:t xml:space="preserve">Moyal-Sharrock, D. </w:t>
      </w:r>
      <w:r>
        <w:rPr>
          <w:rFonts w:asciiTheme="majorBidi" w:eastAsiaTheme="minorEastAsia" w:hAnsiTheme="majorBidi" w:cstheme="majorBidi"/>
          <w:sz w:val="24"/>
          <w:szCs w:val="24"/>
        </w:rPr>
        <w:t xml:space="preserve">and Pritchard, D. H. 2025 </w:t>
      </w:r>
      <w:r w:rsidRPr="006640F2">
        <w:rPr>
          <w:rFonts w:asciiTheme="majorBidi" w:eastAsiaTheme="minorEastAsia" w:hAnsiTheme="majorBidi" w:cstheme="majorBidi"/>
          <w:i/>
          <w:iCs/>
          <w:sz w:val="24"/>
          <w:szCs w:val="24"/>
          <w:lang w:val="en-GB"/>
        </w:rPr>
        <w:t>Wittgenstein on Knowledge and Certainty</w:t>
      </w:r>
      <w:r>
        <w:rPr>
          <w:rFonts w:asciiTheme="majorBidi" w:eastAsiaTheme="minorEastAsia" w:hAnsiTheme="majorBidi" w:cstheme="majorBidi"/>
          <w:sz w:val="24"/>
          <w:szCs w:val="24"/>
          <w:lang w:val="en-GB"/>
        </w:rPr>
        <w:t xml:space="preserve">, </w:t>
      </w:r>
      <w:r w:rsidRPr="006640F2">
        <w:rPr>
          <w:rFonts w:asciiTheme="majorBidi" w:eastAsiaTheme="minorEastAsia" w:hAnsiTheme="majorBidi" w:cstheme="majorBidi"/>
          <w:sz w:val="24"/>
          <w:szCs w:val="24"/>
          <w:lang w:val="en-GB"/>
        </w:rPr>
        <w:t xml:space="preserve">Cambridge: Cambridge University Press. </w:t>
      </w:r>
    </w:p>
    <w:p w14:paraId="20A25934" w14:textId="15173BA4" w:rsidR="00EA4B48" w:rsidRPr="00F64509" w:rsidRDefault="00EA4B48" w:rsidP="00F64509">
      <w:pPr>
        <w:shd w:val="clear" w:color="auto" w:fill="FFFFFF"/>
        <w:spacing w:line="480" w:lineRule="auto"/>
        <w:ind w:left="720" w:hanging="720"/>
        <w:jc w:val="both"/>
        <w:rPr>
          <w:rFonts w:asciiTheme="majorBidi" w:eastAsia="Times New Roman" w:hAnsiTheme="majorBidi" w:cstheme="majorBidi"/>
          <w:sz w:val="24"/>
          <w:szCs w:val="24"/>
          <w:bdr w:val="none" w:sz="0" w:space="0" w:color="auto" w:frame="1"/>
        </w:rPr>
      </w:pPr>
      <w:r w:rsidRPr="00F64509">
        <w:rPr>
          <w:rFonts w:asciiTheme="majorBidi" w:eastAsia="Times New Roman" w:hAnsiTheme="majorBidi" w:cstheme="majorBidi"/>
          <w:sz w:val="24"/>
          <w:szCs w:val="24"/>
          <w:bdr w:val="none" w:sz="0" w:space="0" w:color="auto" w:frame="1"/>
        </w:rPr>
        <w:lastRenderedPageBreak/>
        <w:t xml:space="preserve">Ohlhorst, J. 2021 </w:t>
      </w:r>
      <w:r w:rsidRPr="00F64509">
        <w:rPr>
          <w:rFonts w:asciiTheme="majorBidi" w:eastAsia="Times New Roman" w:hAnsiTheme="majorBidi" w:cstheme="majorBidi"/>
          <w:i/>
          <w:iCs/>
          <w:sz w:val="24"/>
          <w:szCs w:val="24"/>
          <w:bdr w:val="none" w:sz="0" w:space="0" w:color="auto" w:frame="1"/>
        </w:rPr>
        <w:t>Trust Responsibly</w:t>
      </w:r>
      <w:r w:rsidRPr="00F64509">
        <w:rPr>
          <w:rFonts w:asciiTheme="majorBidi" w:eastAsia="Times New Roman" w:hAnsiTheme="majorBidi" w:cstheme="majorBidi"/>
          <w:sz w:val="24"/>
          <w:szCs w:val="24"/>
          <w:bdr w:val="none" w:sz="0" w:space="0" w:color="auto" w:frame="1"/>
        </w:rPr>
        <w:t xml:space="preserve">. </w:t>
      </w:r>
      <w:r w:rsidRPr="00F64509">
        <w:rPr>
          <w:rFonts w:asciiTheme="majorBidi" w:eastAsia="Times New Roman" w:hAnsiTheme="majorBidi" w:cstheme="majorBidi"/>
          <w:i/>
          <w:iCs/>
          <w:sz w:val="24"/>
          <w:szCs w:val="24"/>
          <w:bdr w:val="none" w:sz="0" w:space="0" w:color="auto" w:frame="1"/>
        </w:rPr>
        <w:t>Non-Evidential Virtue Epistemology</w:t>
      </w:r>
      <w:r w:rsidRPr="00F64509">
        <w:rPr>
          <w:rFonts w:asciiTheme="majorBidi" w:eastAsia="Times New Roman" w:hAnsiTheme="majorBidi" w:cstheme="majorBidi"/>
          <w:sz w:val="24"/>
          <w:szCs w:val="24"/>
          <w:bdr w:val="none" w:sz="0" w:space="0" w:color="auto" w:frame="1"/>
        </w:rPr>
        <w:t>. PhD dissertation, University of Cologne.</w:t>
      </w:r>
    </w:p>
    <w:p w14:paraId="3982F92F" w14:textId="53EFD07A" w:rsidR="009402AD" w:rsidRPr="00F64509" w:rsidRDefault="009402AD" w:rsidP="00F64509">
      <w:pPr>
        <w:pStyle w:val="Body"/>
        <w:spacing w:after="160" w:line="480" w:lineRule="auto"/>
        <w:jc w:val="both"/>
        <w:rPr>
          <w:rFonts w:asciiTheme="majorBidi" w:hAnsiTheme="majorBidi" w:cstheme="majorBidi"/>
          <w:color w:val="auto"/>
        </w:rPr>
      </w:pPr>
      <w:r w:rsidRPr="00F64509">
        <w:rPr>
          <w:rFonts w:asciiTheme="majorBidi" w:hAnsiTheme="majorBidi" w:cstheme="majorBidi"/>
          <w:color w:val="auto"/>
        </w:rPr>
        <w:t>Pritchard, D. H. 2005</w:t>
      </w:r>
      <w:r w:rsidR="009D1743" w:rsidRPr="00F64509">
        <w:rPr>
          <w:rFonts w:asciiTheme="majorBidi" w:hAnsiTheme="majorBidi" w:cstheme="majorBidi"/>
          <w:color w:val="auto"/>
        </w:rPr>
        <w:t>a</w:t>
      </w:r>
      <w:r w:rsidRPr="00F64509">
        <w:rPr>
          <w:rFonts w:asciiTheme="majorBidi" w:hAnsiTheme="majorBidi" w:cstheme="majorBidi"/>
          <w:color w:val="auto"/>
        </w:rPr>
        <w:t xml:space="preserve"> </w:t>
      </w:r>
      <w:r w:rsidRPr="00F64509">
        <w:rPr>
          <w:rFonts w:asciiTheme="majorBidi" w:hAnsiTheme="majorBidi" w:cstheme="majorBidi"/>
          <w:i/>
          <w:iCs/>
          <w:color w:val="auto"/>
        </w:rPr>
        <w:t>Epistemic Luck</w:t>
      </w:r>
      <w:r w:rsidRPr="00F64509">
        <w:rPr>
          <w:rFonts w:asciiTheme="majorBidi" w:hAnsiTheme="majorBidi" w:cstheme="majorBidi"/>
          <w:color w:val="auto"/>
        </w:rPr>
        <w:t>, Oxford: Oxford University Press.</w:t>
      </w:r>
    </w:p>
    <w:p w14:paraId="3757AC8A" w14:textId="0BA09A71" w:rsidR="009402AD" w:rsidRPr="00F64509" w:rsidRDefault="009402AD" w:rsidP="00F64509">
      <w:pPr>
        <w:pStyle w:val="Body"/>
        <w:spacing w:after="160" w:line="480" w:lineRule="auto"/>
        <w:ind w:left="720" w:hanging="720"/>
        <w:jc w:val="both"/>
        <w:rPr>
          <w:rFonts w:asciiTheme="majorBidi" w:hAnsiTheme="majorBidi" w:cstheme="majorBidi"/>
          <w:iCs/>
          <w:color w:val="auto"/>
        </w:rPr>
      </w:pPr>
      <w:r w:rsidRPr="00F64509">
        <w:rPr>
          <w:rFonts w:asciiTheme="majorBidi" w:hAnsiTheme="majorBidi" w:cstheme="majorBidi"/>
          <w:color w:val="auto"/>
        </w:rPr>
        <w:t>Pritchard, D. H. 2005b “</w:t>
      </w:r>
      <w:r w:rsidRPr="00F64509">
        <w:rPr>
          <w:rFonts w:asciiTheme="majorBidi" w:hAnsiTheme="majorBidi" w:cstheme="majorBidi"/>
          <w:iCs/>
          <w:color w:val="auto"/>
        </w:rPr>
        <w:t>Wittgenstein</w:t>
      </w:r>
      <w:r w:rsidR="00B53A7E" w:rsidRPr="00F64509">
        <w:rPr>
          <w:rFonts w:asciiTheme="majorBidi" w:hAnsiTheme="majorBidi" w:cstheme="majorBidi"/>
          <w:iCs/>
          <w:color w:val="auto"/>
        </w:rPr>
        <w:t>’</w:t>
      </w:r>
      <w:r w:rsidRPr="00F64509">
        <w:rPr>
          <w:rFonts w:asciiTheme="majorBidi" w:hAnsiTheme="majorBidi" w:cstheme="majorBidi"/>
          <w:iCs/>
          <w:color w:val="auto"/>
        </w:rPr>
        <w:t xml:space="preserve">s </w:t>
      </w:r>
      <w:r w:rsidRPr="00F64509">
        <w:rPr>
          <w:rFonts w:asciiTheme="majorBidi" w:hAnsiTheme="majorBidi" w:cstheme="majorBidi"/>
          <w:i/>
          <w:iCs/>
          <w:color w:val="auto"/>
        </w:rPr>
        <w:t>On Certainty</w:t>
      </w:r>
      <w:r w:rsidRPr="00F64509">
        <w:rPr>
          <w:rFonts w:asciiTheme="majorBidi" w:hAnsiTheme="majorBidi" w:cstheme="majorBidi"/>
          <w:iCs/>
          <w:color w:val="auto"/>
        </w:rPr>
        <w:t xml:space="preserve"> and Contemporary Anti-Scepticism”, </w:t>
      </w:r>
      <w:r w:rsidRPr="00F64509">
        <w:rPr>
          <w:rFonts w:asciiTheme="majorBidi" w:hAnsiTheme="majorBidi" w:cstheme="majorBidi"/>
          <w:i/>
          <w:iCs/>
          <w:color w:val="auto"/>
        </w:rPr>
        <w:t>Investigating On Certainty: Essays on Wittgenstein</w:t>
      </w:r>
      <w:r w:rsidR="00B53A7E" w:rsidRPr="00F64509">
        <w:rPr>
          <w:rFonts w:asciiTheme="majorBidi" w:hAnsiTheme="majorBidi" w:cstheme="majorBidi"/>
          <w:i/>
          <w:iCs/>
          <w:color w:val="auto"/>
        </w:rPr>
        <w:t>’</w:t>
      </w:r>
      <w:r w:rsidRPr="00F64509">
        <w:rPr>
          <w:rFonts w:asciiTheme="majorBidi" w:hAnsiTheme="majorBidi" w:cstheme="majorBidi"/>
          <w:i/>
          <w:iCs/>
          <w:color w:val="auto"/>
        </w:rPr>
        <w:t>s Last Work</w:t>
      </w:r>
      <w:r w:rsidRPr="00F64509">
        <w:rPr>
          <w:rFonts w:asciiTheme="majorBidi" w:hAnsiTheme="majorBidi" w:cstheme="majorBidi"/>
          <w:iCs/>
          <w:color w:val="auto"/>
        </w:rPr>
        <w:t xml:space="preserve">, (eds.) D. Moyal-Sharrock </w:t>
      </w:r>
      <w:r w:rsidRPr="00F64509">
        <w:rPr>
          <w:rFonts w:asciiTheme="majorBidi" w:hAnsiTheme="majorBidi" w:cstheme="majorBidi"/>
          <w:i/>
          <w:iCs/>
          <w:color w:val="auto"/>
        </w:rPr>
        <w:t>&amp;</w:t>
      </w:r>
      <w:r w:rsidRPr="00F64509">
        <w:rPr>
          <w:rFonts w:asciiTheme="majorBidi" w:hAnsiTheme="majorBidi" w:cstheme="majorBidi"/>
          <w:iCs/>
          <w:color w:val="auto"/>
        </w:rPr>
        <w:t xml:space="preserve"> W. H. Brenner, 189-224, London: Palgrave Macmillan.</w:t>
      </w:r>
    </w:p>
    <w:p w14:paraId="7ED52B5C" w14:textId="77777777" w:rsidR="009402AD" w:rsidRPr="00F64509" w:rsidRDefault="009402AD" w:rsidP="00F64509">
      <w:pPr>
        <w:pStyle w:val="Body"/>
        <w:spacing w:after="160" w:line="480" w:lineRule="auto"/>
        <w:ind w:left="720" w:hanging="720"/>
        <w:jc w:val="both"/>
        <w:rPr>
          <w:rFonts w:asciiTheme="majorBidi" w:hAnsiTheme="majorBidi" w:cstheme="majorBidi"/>
          <w:iCs/>
          <w:color w:val="auto"/>
        </w:rPr>
      </w:pPr>
      <w:r w:rsidRPr="00F64509">
        <w:rPr>
          <w:rFonts w:asciiTheme="majorBidi" w:hAnsiTheme="majorBidi" w:cstheme="majorBidi"/>
          <w:color w:val="auto"/>
        </w:rPr>
        <w:t>Pritchard, D. H. 2010 “</w:t>
      </w:r>
      <w:r w:rsidRPr="00F64509">
        <w:rPr>
          <w:rFonts w:asciiTheme="majorBidi" w:hAnsiTheme="majorBidi" w:cstheme="majorBidi"/>
          <w:iCs/>
          <w:color w:val="auto"/>
        </w:rPr>
        <w:t xml:space="preserve">Epistemic Relativism, Epistemic Incommensurability and Wittgensteinian Epistemology”, </w:t>
      </w:r>
      <w:r w:rsidRPr="00F64509">
        <w:rPr>
          <w:rFonts w:asciiTheme="majorBidi" w:hAnsiTheme="majorBidi" w:cstheme="majorBidi"/>
          <w:i/>
          <w:iCs/>
          <w:color w:val="auto"/>
        </w:rPr>
        <w:t>The Blackwell Companion to Relativism</w:t>
      </w:r>
      <w:r w:rsidRPr="00F64509">
        <w:rPr>
          <w:rFonts w:asciiTheme="majorBidi" w:hAnsiTheme="majorBidi" w:cstheme="majorBidi"/>
          <w:iCs/>
          <w:color w:val="auto"/>
        </w:rPr>
        <w:t>, (ed.) S. Hales, 266-85, Oxford: Blackwell.</w:t>
      </w:r>
    </w:p>
    <w:p w14:paraId="78804E9F" w14:textId="77777777" w:rsidR="009402AD" w:rsidRPr="00F64509" w:rsidRDefault="009402AD" w:rsidP="00F64509">
      <w:pPr>
        <w:pStyle w:val="Body"/>
        <w:spacing w:after="160" w:line="480" w:lineRule="auto"/>
        <w:ind w:left="720" w:hanging="720"/>
        <w:jc w:val="both"/>
        <w:rPr>
          <w:rFonts w:asciiTheme="majorBidi" w:hAnsiTheme="majorBidi" w:cstheme="majorBidi"/>
          <w:iCs/>
          <w:color w:val="auto"/>
        </w:rPr>
      </w:pPr>
      <w:r w:rsidRPr="00F64509">
        <w:rPr>
          <w:rFonts w:asciiTheme="majorBidi" w:hAnsiTheme="majorBidi" w:cstheme="majorBidi"/>
          <w:color w:val="auto"/>
        </w:rPr>
        <w:t>Pritchard, D. H. 2011 “</w:t>
      </w:r>
      <w:r w:rsidRPr="00F64509">
        <w:rPr>
          <w:rFonts w:asciiTheme="majorBidi" w:hAnsiTheme="majorBidi" w:cstheme="majorBidi"/>
          <w:iCs/>
          <w:color w:val="auto"/>
        </w:rPr>
        <w:t xml:space="preserve">Wittgensteinian Quasi-Fideism”, </w:t>
      </w:r>
      <w:r w:rsidRPr="00F64509">
        <w:rPr>
          <w:rFonts w:asciiTheme="majorBidi" w:hAnsiTheme="majorBidi" w:cstheme="majorBidi"/>
          <w:i/>
          <w:iCs/>
          <w:color w:val="auto"/>
        </w:rPr>
        <w:t>Oxford Studies in the Philosophy of Religion</w:t>
      </w:r>
      <w:r w:rsidRPr="00F64509">
        <w:rPr>
          <w:rFonts w:asciiTheme="majorBidi" w:hAnsiTheme="majorBidi" w:cstheme="majorBidi"/>
          <w:iCs/>
          <w:color w:val="auto"/>
        </w:rPr>
        <w:t xml:space="preserve"> 4, 145-59. </w:t>
      </w:r>
    </w:p>
    <w:p w14:paraId="41861BC9" w14:textId="7D1DF984" w:rsidR="009402AD" w:rsidRPr="00C85B3B" w:rsidRDefault="009402AD" w:rsidP="00F64509">
      <w:pPr>
        <w:pStyle w:val="Body"/>
        <w:spacing w:after="160" w:line="480" w:lineRule="auto"/>
        <w:ind w:left="720" w:hanging="720"/>
        <w:jc w:val="both"/>
        <w:rPr>
          <w:rFonts w:asciiTheme="majorBidi" w:hAnsiTheme="majorBidi" w:cstheme="majorBidi"/>
          <w:iCs/>
          <w:color w:val="auto"/>
        </w:rPr>
      </w:pPr>
      <w:r w:rsidRPr="00F64509">
        <w:rPr>
          <w:rFonts w:asciiTheme="majorBidi" w:hAnsiTheme="majorBidi" w:cstheme="majorBidi"/>
          <w:color w:val="auto"/>
        </w:rPr>
        <w:t>Pritchard, D. H</w:t>
      </w:r>
      <w:r w:rsidRPr="00C85B3B">
        <w:rPr>
          <w:rFonts w:asciiTheme="majorBidi" w:hAnsiTheme="majorBidi" w:cstheme="majorBidi"/>
          <w:color w:val="auto"/>
        </w:rPr>
        <w:t xml:space="preserve">. 2012 </w:t>
      </w:r>
      <w:r w:rsidRPr="00C85B3B">
        <w:rPr>
          <w:rFonts w:asciiTheme="majorBidi" w:hAnsiTheme="majorBidi" w:cstheme="majorBidi"/>
          <w:iCs/>
          <w:color w:val="auto"/>
        </w:rPr>
        <w:t xml:space="preserve">“Wittgenstein and the Groundlessness of Our Believing”, </w:t>
      </w:r>
      <w:r w:rsidRPr="00C85B3B">
        <w:rPr>
          <w:rFonts w:asciiTheme="majorBidi" w:hAnsiTheme="majorBidi" w:cstheme="majorBidi"/>
          <w:i/>
          <w:iCs/>
          <w:color w:val="auto"/>
        </w:rPr>
        <w:t>Synthese</w:t>
      </w:r>
      <w:r w:rsidRPr="00C85B3B">
        <w:rPr>
          <w:rFonts w:asciiTheme="majorBidi" w:hAnsiTheme="majorBidi" w:cstheme="majorBidi"/>
          <w:iCs/>
          <w:color w:val="auto"/>
        </w:rPr>
        <w:t xml:space="preserve"> 189, 255-72.</w:t>
      </w:r>
    </w:p>
    <w:p w14:paraId="610875E9" w14:textId="01FA3D16" w:rsidR="009402AD" w:rsidRPr="00C85B3B" w:rsidRDefault="00606D67" w:rsidP="00F64509">
      <w:pPr>
        <w:spacing w:line="480" w:lineRule="auto"/>
        <w:ind w:left="720" w:hanging="720"/>
        <w:jc w:val="both"/>
        <w:rPr>
          <w:rFonts w:asciiTheme="majorBidi" w:hAnsiTheme="majorBidi" w:cstheme="majorBidi"/>
          <w:sz w:val="24"/>
          <w:szCs w:val="24"/>
          <w:lang w:val="en-GB"/>
        </w:rPr>
      </w:pPr>
      <w:r w:rsidRPr="00C85B3B">
        <w:rPr>
          <w:rFonts w:asciiTheme="majorBidi" w:hAnsiTheme="majorBidi" w:cstheme="majorBidi"/>
          <w:sz w:val="24"/>
          <w:szCs w:val="24"/>
          <w:lang w:val="en-GB"/>
        </w:rPr>
        <w:t xml:space="preserve">Pritchard, D. </w:t>
      </w:r>
      <w:r w:rsidR="00C4465F" w:rsidRPr="00C85B3B">
        <w:rPr>
          <w:rFonts w:asciiTheme="majorBidi" w:hAnsiTheme="majorBidi" w:cstheme="majorBidi"/>
          <w:sz w:val="24"/>
          <w:szCs w:val="24"/>
          <w:lang w:val="en-GB"/>
        </w:rPr>
        <w:t xml:space="preserve">H. </w:t>
      </w:r>
      <w:r w:rsidRPr="00C85B3B">
        <w:rPr>
          <w:rFonts w:asciiTheme="majorBidi" w:hAnsiTheme="majorBidi" w:cstheme="majorBidi"/>
          <w:sz w:val="24"/>
          <w:szCs w:val="24"/>
          <w:lang w:val="en-GB"/>
        </w:rPr>
        <w:t>201</w:t>
      </w:r>
      <w:r w:rsidR="00D66941" w:rsidRPr="00C85B3B">
        <w:rPr>
          <w:rFonts w:asciiTheme="majorBidi" w:hAnsiTheme="majorBidi" w:cstheme="majorBidi"/>
          <w:sz w:val="24"/>
          <w:szCs w:val="24"/>
          <w:lang w:val="en-GB"/>
        </w:rPr>
        <w:t>5</w:t>
      </w:r>
      <w:r w:rsidR="009402AD" w:rsidRPr="00C85B3B">
        <w:rPr>
          <w:rFonts w:asciiTheme="majorBidi" w:hAnsiTheme="majorBidi" w:cstheme="majorBidi"/>
          <w:sz w:val="24"/>
          <w:szCs w:val="24"/>
          <w:lang w:val="en-GB"/>
        </w:rPr>
        <w:t>a</w:t>
      </w:r>
      <w:r w:rsidRPr="00C85B3B">
        <w:rPr>
          <w:rFonts w:asciiTheme="majorBidi" w:hAnsiTheme="majorBidi" w:cstheme="majorBidi"/>
          <w:sz w:val="24"/>
          <w:szCs w:val="24"/>
          <w:lang w:val="en-GB"/>
        </w:rPr>
        <w:t xml:space="preserve"> </w:t>
      </w:r>
      <w:r w:rsidRPr="00C85B3B">
        <w:rPr>
          <w:rFonts w:asciiTheme="majorBidi" w:hAnsiTheme="majorBidi" w:cstheme="majorBidi"/>
          <w:i/>
          <w:sz w:val="24"/>
          <w:szCs w:val="24"/>
          <w:lang w:val="en-GB"/>
        </w:rPr>
        <w:t>Epistemic Angst:</w:t>
      </w:r>
      <w:r w:rsidRPr="00C85B3B">
        <w:rPr>
          <w:rFonts w:asciiTheme="majorBidi" w:hAnsiTheme="majorBidi" w:cstheme="majorBidi"/>
          <w:sz w:val="24"/>
          <w:szCs w:val="24"/>
          <w:lang w:val="en-GB"/>
        </w:rPr>
        <w:t xml:space="preserve"> </w:t>
      </w:r>
      <w:r w:rsidRPr="00C85B3B">
        <w:rPr>
          <w:rFonts w:asciiTheme="majorBidi" w:hAnsiTheme="majorBidi" w:cstheme="majorBidi"/>
          <w:i/>
          <w:sz w:val="24"/>
          <w:szCs w:val="24"/>
          <w:lang w:val="en-GB"/>
        </w:rPr>
        <w:t>Radical Skepticism and the Groundlessness of Our Believing</w:t>
      </w:r>
      <w:r w:rsidRPr="00C85B3B">
        <w:rPr>
          <w:rFonts w:asciiTheme="majorBidi" w:hAnsiTheme="majorBidi" w:cstheme="majorBidi"/>
          <w:sz w:val="24"/>
          <w:szCs w:val="24"/>
          <w:lang w:val="en-GB"/>
        </w:rPr>
        <w:t>, Princeton, Princeton University Press.</w:t>
      </w:r>
    </w:p>
    <w:p w14:paraId="1D1C446A" w14:textId="68A8758E" w:rsidR="00606D67" w:rsidRPr="00C85B3B" w:rsidRDefault="009402AD" w:rsidP="00F64509">
      <w:pPr>
        <w:pStyle w:val="Body"/>
        <w:spacing w:after="160" w:line="480" w:lineRule="auto"/>
        <w:ind w:left="720" w:hanging="720"/>
        <w:jc w:val="both"/>
        <w:rPr>
          <w:rFonts w:asciiTheme="majorBidi" w:hAnsiTheme="majorBidi" w:cstheme="majorBidi"/>
          <w:b/>
          <w:bCs/>
          <w:iCs/>
          <w:color w:val="auto"/>
        </w:rPr>
      </w:pPr>
      <w:r w:rsidRPr="00C85B3B">
        <w:rPr>
          <w:rFonts w:asciiTheme="majorBidi" w:hAnsiTheme="majorBidi" w:cstheme="majorBidi"/>
          <w:color w:val="auto"/>
        </w:rPr>
        <w:t>Pritchard, D. H. 2015b “</w:t>
      </w:r>
      <w:r w:rsidRPr="00C85B3B">
        <w:rPr>
          <w:rFonts w:asciiTheme="majorBidi" w:hAnsiTheme="majorBidi" w:cstheme="majorBidi"/>
          <w:iCs/>
          <w:color w:val="auto"/>
        </w:rPr>
        <w:t xml:space="preserve">Wittgenstein on Faith and Reason: The Influence of Newman”, </w:t>
      </w:r>
      <w:r w:rsidRPr="00C85B3B">
        <w:rPr>
          <w:rFonts w:asciiTheme="majorBidi" w:hAnsiTheme="majorBidi" w:cstheme="majorBidi"/>
          <w:i/>
          <w:iCs/>
          <w:color w:val="auto"/>
        </w:rPr>
        <w:t>God, Truth and Other Enigmas</w:t>
      </w:r>
      <w:r w:rsidRPr="00C85B3B">
        <w:rPr>
          <w:rFonts w:asciiTheme="majorBidi" w:hAnsiTheme="majorBidi" w:cstheme="majorBidi"/>
          <w:iCs/>
          <w:color w:val="auto"/>
        </w:rPr>
        <w:t xml:space="preserve">, (ed.) M. </w:t>
      </w:r>
      <w:r w:rsidRPr="00C85B3B">
        <w:rPr>
          <w:rFonts w:asciiTheme="majorBidi" w:hAnsiTheme="majorBidi" w:cstheme="majorBidi"/>
          <w:bCs/>
          <w:iCs/>
          <w:color w:val="auto"/>
        </w:rPr>
        <w:t>Szatkowski, 141-64, Berlin: DeGruyter.</w:t>
      </w:r>
      <w:r w:rsidRPr="00C85B3B">
        <w:rPr>
          <w:rFonts w:asciiTheme="majorBidi" w:hAnsiTheme="majorBidi" w:cstheme="majorBidi"/>
          <w:b/>
          <w:bCs/>
          <w:iCs/>
          <w:color w:val="auto"/>
        </w:rPr>
        <w:t xml:space="preserve"> </w:t>
      </w:r>
    </w:p>
    <w:p w14:paraId="6243D0B9" w14:textId="13C67E4D" w:rsidR="009402AD" w:rsidRPr="00C85B3B" w:rsidRDefault="009402AD" w:rsidP="00F64509">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2017</w:t>
      </w:r>
      <w:r w:rsidR="009D1743" w:rsidRPr="00C85B3B">
        <w:rPr>
          <w:rFonts w:asciiTheme="majorBidi" w:hAnsiTheme="majorBidi" w:cstheme="majorBidi"/>
          <w:color w:val="auto"/>
        </w:rPr>
        <w:t>a</w:t>
      </w:r>
      <w:r w:rsidRPr="00C85B3B">
        <w:rPr>
          <w:rFonts w:asciiTheme="majorBidi" w:hAnsiTheme="majorBidi" w:cstheme="majorBidi"/>
          <w:color w:val="auto"/>
        </w:rPr>
        <w:t xml:space="preserve"> “</w:t>
      </w:r>
      <w:r w:rsidRPr="00C85B3B">
        <w:rPr>
          <w:rFonts w:asciiTheme="majorBidi" w:hAnsiTheme="majorBidi" w:cstheme="majorBidi"/>
          <w:iCs/>
          <w:color w:val="auto"/>
        </w:rPr>
        <w:t xml:space="preserve">Faith and Reason”, </w:t>
      </w:r>
      <w:r w:rsidRPr="00C85B3B">
        <w:rPr>
          <w:rFonts w:asciiTheme="majorBidi" w:hAnsiTheme="majorBidi" w:cstheme="majorBidi"/>
          <w:i/>
          <w:iCs/>
          <w:color w:val="auto"/>
        </w:rPr>
        <w:t>Philosophy</w:t>
      </w:r>
      <w:r w:rsidRPr="00C85B3B">
        <w:rPr>
          <w:rFonts w:asciiTheme="majorBidi" w:hAnsiTheme="majorBidi" w:cstheme="majorBidi"/>
          <w:iCs/>
          <w:color w:val="auto"/>
        </w:rPr>
        <w:t xml:space="preserve"> 81, 101-18.</w:t>
      </w:r>
    </w:p>
    <w:p w14:paraId="5EAB46EF" w14:textId="40E80E2A" w:rsidR="009402AD" w:rsidRPr="00C85B3B" w:rsidRDefault="009402AD" w:rsidP="00F64509">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2017</w:t>
      </w:r>
      <w:r w:rsidR="009D1743" w:rsidRPr="00C85B3B">
        <w:rPr>
          <w:rFonts w:asciiTheme="majorBidi" w:hAnsiTheme="majorBidi" w:cstheme="majorBidi"/>
          <w:color w:val="auto"/>
        </w:rPr>
        <w:t>b</w:t>
      </w:r>
      <w:r w:rsidRPr="00C85B3B">
        <w:rPr>
          <w:rFonts w:asciiTheme="majorBidi" w:hAnsiTheme="majorBidi" w:cstheme="majorBidi"/>
          <w:color w:val="auto"/>
        </w:rPr>
        <w:t xml:space="preserve"> “</w:t>
      </w:r>
      <w:r w:rsidRPr="00C85B3B">
        <w:rPr>
          <w:rFonts w:asciiTheme="majorBidi" w:hAnsiTheme="majorBidi" w:cstheme="majorBidi"/>
          <w:iCs/>
          <w:color w:val="auto"/>
        </w:rPr>
        <w:t xml:space="preserve">Wittgenstein on Hinge Commitments and Radical Scepticism in </w:t>
      </w:r>
      <w:r w:rsidRPr="00C85B3B">
        <w:rPr>
          <w:rFonts w:asciiTheme="majorBidi" w:hAnsiTheme="majorBidi" w:cstheme="majorBidi"/>
          <w:i/>
          <w:iCs/>
          <w:color w:val="auto"/>
        </w:rPr>
        <w:t>On Certainty</w:t>
      </w:r>
      <w:r w:rsidRPr="00C85B3B">
        <w:rPr>
          <w:rFonts w:asciiTheme="majorBidi" w:hAnsiTheme="majorBidi" w:cstheme="majorBidi"/>
          <w:iCs/>
          <w:color w:val="auto"/>
        </w:rPr>
        <w:t xml:space="preserve">”, </w:t>
      </w:r>
      <w:r w:rsidRPr="00C85B3B">
        <w:rPr>
          <w:rFonts w:asciiTheme="majorBidi" w:hAnsiTheme="majorBidi" w:cstheme="majorBidi"/>
          <w:i/>
          <w:iCs/>
          <w:color w:val="auto"/>
        </w:rPr>
        <w:t>Blackwell Companion to Wittgenstein</w:t>
      </w:r>
      <w:r w:rsidRPr="00C85B3B">
        <w:rPr>
          <w:rFonts w:asciiTheme="majorBidi" w:hAnsiTheme="majorBidi" w:cstheme="majorBidi"/>
          <w:iCs/>
          <w:color w:val="auto"/>
        </w:rPr>
        <w:t xml:space="preserve">, (eds.) H.-J. Glock </w:t>
      </w:r>
      <w:r w:rsidRPr="00C85B3B">
        <w:rPr>
          <w:rFonts w:asciiTheme="majorBidi" w:hAnsiTheme="majorBidi" w:cstheme="majorBidi"/>
          <w:i/>
          <w:iCs/>
          <w:color w:val="auto"/>
        </w:rPr>
        <w:t>&amp;</w:t>
      </w:r>
      <w:r w:rsidRPr="00C85B3B">
        <w:rPr>
          <w:rFonts w:asciiTheme="majorBidi" w:hAnsiTheme="majorBidi" w:cstheme="majorBidi"/>
          <w:iCs/>
          <w:color w:val="auto"/>
        </w:rPr>
        <w:t xml:space="preserve"> J. Hyman, 563-75, Oxford: Blackwell.</w:t>
      </w:r>
    </w:p>
    <w:p w14:paraId="4D874058" w14:textId="304CE857" w:rsidR="009402AD" w:rsidRPr="00C85B3B" w:rsidRDefault="009402AD" w:rsidP="00F64509">
      <w:pPr>
        <w:spacing w:line="480" w:lineRule="auto"/>
        <w:ind w:left="720" w:hanging="720"/>
        <w:jc w:val="both"/>
        <w:rPr>
          <w:rFonts w:asciiTheme="majorBidi" w:hAnsiTheme="majorBidi" w:cstheme="majorBidi"/>
          <w:sz w:val="24"/>
          <w:szCs w:val="24"/>
        </w:rPr>
      </w:pPr>
      <w:r w:rsidRPr="00C85B3B">
        <w:rPr>
          <w:rFonts w:asciiTheme="majorBidi" w:hAnsiTheme="majorBidi" w:cstheme="majorBidi"/>
          <w:sz w:val="24"/>
          <w:szCs w:val="24"/>
        </w:rPr>
        <w:lastRenderedPageBreak/>
        <w:t xml:space="preserve">Pritchard, D. H. 2018a “Disagreements of beliefs and otherwise”, in C. R. Johnson (ed.) </w:t>
      </w:r>
      <w:r w:rsidRPr="00C85B3B">
        <w:rPr>
          <w:rFonts w:asciiTheme="majorBidi" w:hAnsiTheme="majorBidi" w:cstheme="majorBidi"/>
          <w:i/>
          <w:sz w:val="24"/>
          <w:szCs w:val="24"/>
        </w:rPr>
        <w:t>Voicing Dissent. The Ethics and Epistemology of Making Disagreement Public</w:t>
      </w:r>
      <w:r w:rsidRPr="00C85B3B">
        <w:rPr>
          <w:rFonts w:asciiTheme="majorBidi" w:hAnsiTheme="majorBidi" w:cstheme="majorBidi"/>
          <w:sz w:val="24"/>
          <w:szCs w:val="24"/>
        </w:rPr>
        <w:t>, New York, Routledge, pp. 22-38.</w:t>
      </w:r>
    </w:p>
    <w:p w14:paraId="0507674E" w14:textId="117A2A53" w:rsidR="009402AD" w:rsidRPr="00C85B3B" w:rsidRDefault="009402AD" w:rsidP="00F64509">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2018b “</w:t>
      </w:r>
      <w:r w:rsidRPr="00C85B3B">
        <w:rPr>
          <w:rFonts w:asciiTheme="majorBidi" w:hAnsiTheme="majorBidi" w:cstheme="majorBidi"/>
          <w:iCs/>
          <w:color w:val="auto"/>
        </w:rPr>
        <w:t xml:space="preserve">Epistemic </w:t>
      </w:r>
      <w:r w:rsidRPr="00C85B3B">
        <w:rPr>
          <w:rFonts w:asciiTheme="majorBidi" w:hAnsiTheme="majorBidi" w:cstheme="majorBidi"/>
          <w:i/>
          <w:iCs/>
          <w:color w:val="auto"/>
        </w:rPr>
        <w:t>Angst</w:t>
      </w:r>
      <w:r w:rsidRPr="00C85B3B">
        <w:rPr>
          <w:rFonts w:asciiTheme="majorBidi" w:hAnsiTheme="majorBidi" w:cstheme="majorBidi"/>
          <w:iCs/>
          <w:color w:val="auto"/>
        </w:rPr>
        <w:t xml:space="preserve">”, </w:t>
      </w:r>
      <w:r w:rsidRPr="00C85B3B">
        <w:rPr>
          <w:rFonts w:asciiTheme="majorBidi" w:hAnsiTheme="majorBidi" w:cstheme="majorBidi"/>
          <w:i/>
          <w:iCs/>
          <w:color w:val="auto"/>
        </w:rPr>
        <w:t>Philosophy and Phenomenological Research</w:t>
      </w:r>
      <w:r w:rsidRPr="00C85B3B">
        <w:rPr>
          <w:rFonts w:asciiTheme="majorBidi" w:hAnsiTheme="majorBidi" w:cstheme="majorBidi"/>
          <w:iCs/>
          <w:color w:val="auto"/>
        </w:rPr>
        <w:t xml:space="preserve"> 96, 70-90. </w:t>
      </w:r>
    </w:p>
    <w:p w14:paraId="1CB535FA" w14:textId="77777777" w:rsidR="004D5D55" w:rsidRPr="00C85B3B" w:rsidRDefault="009402AD" w:rsidP="004D5D55">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2018c “</w:t>
      </w:r>
      <w:r w:rsidRPr="00C85B3B">
        <w:rPr>
          <w:rFonts w:asciiTheme="majorBidi" w:hAnsiTheme="majorBidi" w:cstheme="majorBidi"/>
          <w:iCs/>
          <w:color w:val="auto"/>
        </w:rPr>
        <w:t xml:space="preserve">Quasi-Fideism and Religious Conviction”, </w:t>
      </w:r>
      <w:r w:rsidRPr="00C85B3B">
        <w:rPr>
          <w:rFonts w:asciiTheme="majorBidi" w:hAnsiTheme="majorBidi" w:cstheme="majorBidi"/>
          <w:i/>
          <w:iCs/>
          <w:color w:val="auto"/>
        </w:rPr>
        <w:t>European Journal for Philosophy of Religion</w:t>
      </w:r>
      <w:r w:rsidRPr="00C85B3B">
        <w:rPr>
          <w:rFonts w:asciiTheme="majorBidi" w:hAnsiTheme="majorBidi" w:cstheme="majorBidi"/>
          <w:iCs/>
          <w:color w:val="auto"/>
        </w:rPr>
        <w:t xml:space="preserve"> 10, 51-66.</w:t>
      </w:r>
    </w:p>
    <w:p w14:paraId="7EDED9D0" w14:textId="1B526AAD" w:rsidR="009402AD" w:rsidRPr="00C85B3B" w:rsidRDefault="009402AD" w:rsidP="006640F2">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2019</w:t>
      </w:r>
      <w:r w:rsidR="009D1743" w:rsidRPr="00C85B3B">
        <w:rPr>
          <w:rFonts w:asciiTheme="majorBidi" w:hAnsiTheme="majorBidi" w:cstheme="majorBidi"/>
          <w:color w:val="auto"/>
        </w:rPr>
        <w:t>a</w:t>
      </w:r>
      <w:r w:rsidRPr="00C85B3B">
        <w:rPr>
          <w:rFonts w:asciiTheme="majorBidi" w:hAnsiTheme="majorBidi" w:cstheme="majorBidi"/>
          <w:color w:val="auto"/>
        </w:rPr>
        <w:t xml:space="preserve"> “</w:t>
      </w:r>
      <w:r w:rsidRPr="00C85B3B">
        <w:rPr>
          <w:rFonts w:asciiTheme="majorBidi" w:hAnsiTheme="majorBidi" w:cstheme="majorBidi"/>
          <w:iCs/>
          <w:color w:val="auto"/>
        </w:rPr>
        <w:t xml:space="preserve">Scepticism and </w:t>
      </w:r>
      <w:r w:rsidRPr="00C85B3B">
        <w:rPr>
          <w:rFonts w:asciiTheme="majorBidi" w:hAnsiTheme="majorBidi" w:cstheme="majorBidi"/>
          <w:i/>
          <w:iCs/>
          <w:color w:val="auto"/>
        </w:rPr>
        <w:t>Epistemic</w:t>
      </w:r>
      <w:r w:rsidRPr="00C85B3B">
        <w:rPr>
          <w:rFonts w:asciiTheme="majorBidi" w:hAnsiTheme="majorBidi" w:cstheme="majorBidi"/>
          <w:iCs/>
          <w:color w:val="auto"/>
        </w:rPr>
        <w:t xml:space="preserve"> </w:t>
      </w:r>
      <w:r w:rsidRPr="00C85B3B">
        <w:rPr>
          <w:rFonts w:asciiTheme="majorBidi" w:hAnsiTheme="majorBidi" w:cstheme="majorBidi"/>
          <w:i/>
          <w:iCs/>
          <w:color w:val="auto"/>
        </w:rPr>
        <w:t>Angst</w:t>
      </w:r>
      <w:r w:rsidRPr="00C85B3B">
        <w:rPr>
          <w:rFonts w:asciiTheme="majorBidi" w:hAnsiTheme="majorBidi" w:cstheme="majorBidi"/>
          <w:iCs/>
          <w:color w:val="auto"/>
        </w:rPr>
        <w:t xml:space="preserve">, Redux”, </w:t>
      </w:r>
      <w:r w:rsidRPr="00C85B3B">
        <w:rPr>
          <w:rFonts w:asciiTheme="majorBidi" w:hAnsiTheme="majorBidi" w:cstheme="majorBidi"/>
          <w:i/>
          <w:iCs/>
          <w:color w:val="auto"/>
        </w:rPr>
        <w:t>Synthese</w:t>
      </w:r>
      <w:r w:rsidRPr="00C85B3B">
        <w:rPr>
          <w:rFonts w:asciiTheme="majorBidi" w:hAnsiTheme="majorBidi" w:cstheme="majorBidi"/>
          <w:iCs/>
          <w:color w:val="auto"/>
        </w:rPr>
        <w:t xml:space="preserve"> [DOI: 10.1007/s11229-019-02504-2].</w:t>
      </w:r>
    </w:p>
    <w:p w14:paraId="46570DF4" w14:textId="69E927C4" w:rsidR="009402AD" w:rsidRPr="00C85B3B" w:rsidRDefault="009402AD" w:rsidP="00F64509">
      <w:pPr>
        <w:pStyle w:val="Body"/>
        <w:spacing w:after="160" w:line="480" w:lineRule="auto"/>
        <w:ind w:left="720" w:hanging="720"/>
        <w:jc w:val="both"/>
        <w:rPr>
          <w:rFonts w:asciiTheme="majorBidi" w:hAnsiTheme="majorBidi" w:cstheme="majorBidi"/>
          <w:iCs/>
          <w:color w:val="auto"/>
        </w:rPr>
      </w:pPr>
      <w:bookmarkStart w:id="11" w:name="OLE_LINK57"/>
      <w:r w:rsidRPr="00C85B3B">
        <w:rPr>
          <w:rFonts w:asciiTheme="majorBidi" w:hAnsiTheme="majorBidi" w:cstheme="majorBidi"/>
          <w:color w:val="auto"/>
        </w:rPr>
        <w:t>Pritchard, D. H. 2019</w:t>
      </w:r>
      <w:r w:rsidR="009D1743" w:rsidRPr="00C85B3B">
        <w:rPr>
          <w:rFonts w:asciiTheme="majorBidi" w:hAnsiTheme="majorBidi" w:cstheme="majorBidi"/>
          <w:color w:val="auto"/>
        </w:rPr>
        <w:t>b</w:t>
      </w:r>
      <w:r w:rsidRPr="00C85B3B">
        <w:rPr>
          <w:rFonts w:asciiTheme="majorBidi" w:hAnsiTheme="majorBidi" w:cstheme="majorBidi"/>
          <w:color w:val="auto"/>
        </w:rPr>
        <w:t xml:space="preserve"> “</w:t>
      </w:r>
      <w:r w:rsidRPr="00C85B3B">
        <w:rPr>
          <w:rFonts w:asciiTheme="majorBidi" w:hAnsiTheme="majorBidi" w:cstheme="majorBidi"/>
          <w:bCs/>
          <w:iCs/>
          <w:color w:val="auto"/>
        </w:rPr>
        <w:t xml:space="preserve">Wittgensteinian Epistemology, Epistemic Vertigo, and Pyrrhonian Scepticism”, </w:t>
      </w:r>
      <w:r w:rsidRPr="00C85B3B">
        <w:rPr>
          <w:rFonts w:asciiTheme="majorBidi" w:hAnsiTheme="majorBidi" w:cstheme="majorBidi"/>
          <w:bCs/>
          <w:i/>
          <w:iCs/>
          <w:color w:val="auto"/>
        </w:rPr>
        <w:t>Epistemology After Sextus Empiricus</w:t>
      </w:r>
      <w:r w:rsidRPr="00C85B3B">
        <w:rPr>
          <w:rFonts w:asciiTheme="majorBidi" w:hAnsiTheme="majorBidi" w:cstheme="majorBidi"/>
          <w:iCs/>
          <w:color w:val="auto"/>
        </w:rPr>
        <w:t xml:space="preserve">, (eds.) J. Vlasits </w:t>
      </w:r>
      <w:r w:rsidRPr="00C85B3B">
        <w:rPr>
          <w:rFonts w:asciiTheme="majorBidi" w:hAnsiTheme="majorBidi" w:cstheme="majorBidi"/>
          <w:i/>
          <w:iCs/>
          <w:color w:val="auto"/>
        </w:rPr>
        <w:t>&amp;</w:t>
      </w:r>
      <w:r w:rsidRPr="00C85B3B">
        <w:rPr>
          <w:rFonts w:asciiTheme="majorBidi" w:hAnsiTheme="majorBidi" w:cstheme="majorBidi"/>
          <w:iCs/>
          <w:color w:val="auto"/>
        </w:rPr>
        <w:t xml:space="preserve"> K. M. Vogt, 172-92, Oxford: Oxford University Press.</w:t>
      </w:r>
      <w:bookmarkEnd w:id="11"/>
    </w:p>
    <w:p w14:paraId="14BF2894" w14:textId="63D1E1F5" w:rsidR="009402AD" w:rsidRPr="00C85B3B" w:rsidRDefault="009402AD" w:rsidP="00F64509">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2019</w:t>
      </w:r>
      <w:r w:rsidR="009D1743" w:rsidRPr="00C85B3B">
        <w:rPr>
          <w:rFonts w:asciiTheme="majorBidi" w:hAnsiTheme="majorBidi" w:cstheme="majorBidi"/>
          <w:color w:val="auto"/>
        </w:rPr>
        <w:t>c</w:t>
      </w:r>
      <w:r w:rsidRPr="00C85B3B">
        <w:rPr>
          <w:rFonts w:asciiTheme="majorBidi" w:hAnsiTheme="majorBidi" w:cstheme="majorBidi"/>
          <w:color w:val="auto"/>
        </w:rPr>
        <w:t xml:space="preserve"> “</w:t>
      </w:r>
      <w:r w:rsidRPr="00C85B3B">
        <w:rPr>
          <w:rFonts w:asciiTheme="majorBidi" w:hAnsiTheme="majorBidi" w:cstheme="majorBidi"/>
          <w:iCs/>
          <w:color w:val="auto"/>
        </w:rPr>
        <w:t>Wittgenstein</w:t>
      </w:r>
      <w:r w:rsidR="00B53A7E" w:rsidRPr="00C85B3B">
        <w:rPr>
          <w:rFonts w:asciiTheme="majorBidi" w:hAnsiTheme="majorBidi" w:cstheme="majorBidi"/>
          <w:iCs/>
          <w:color w:val="auto"/>
        </w:rPr>
        <w:t>’</w:t>
      </w:r>
      <w:r w:rsidRPr="00C85B3B">
        <w:rPr>
          <w:rFonts w:asciiTheme="majorBidi" w:hAnsiTheme="majorBidi" w:cstheme="majorBidi"/>
          <w:iCs/>
          <w:color w:val="auto"/>
        </w:rPr>
        <w:t xml:space="preserve">s </w:t>
      </w:r>
      <w:r w:rsidRPr="00C85B3B">
        <w:rPr>
          <w:rFonts w:asciiTheme="majorBidi" w:hAnsiTheme="majorBidi" w:cstheme="majorBidi"/>
          <w:i/>
          <w:iCs/>
          <w:color w:val="auto"/>
        </w:rPr>
        <w:t>On Certainty</w:t>
      </w:r>
      <w:r w:rsidRPr="00C85B3B">
        <w:rPr>
          <w:rFonts w:asciiTheme="majorBidi" w:hAnsiTheme="majorBidi" w:cstheme="majorBidi"/>
          <w:iCs/>
          <w:color w:val="auto"/>
        </w:rPr>
        <w:t xml:space="preserve"> as Pyrrhonism in Action”, </w:t>
      </w:r>
      <w:r w:rsidRPr="00C85B3B">
        <w:rPr>
          <w:rFonts w:asciiTheme="majorBidi" w:hAnsiTheme="majorBidi" w:cstheme="majorBidi"/>
          <w:i/>
          <w:iCs/>
          <w:color w:val="auto"/>
        </w:rPr>
        <w:t>Wittgensteinian (adj.): Looking at Things From the Viewpoint of Wittgenstein</w:t>
      </w:r>
      <w:r w:rsidR="00B53A7E" w:rsidRPr="00C85B3B">
        <w:rPr>
          <w:rFonts w:asciiTheme="majorBidi" w:hAnsiTheme="majorBidi" w:cstheme="majorBidi"/>
          <w:i/>
          <w:iCs/>
          <w:color w:val="auto"/>
        </w:rPr>
        <w:t>’</w:t>
      </w:r>
      <w:r w:rsidRPr="00C85B3B">
        <w:rPr>
          <w:rFonts w:asciiTheme="majorBidi" w:hAnsiTheme="majorBidi" w:cstheme="majorBidi"/>
          <w:i/>
          <w:iCs/>
          <w:color w:val="auto"/>
        </w:rPr>
        <w:t>s Philosophy</w:t>
      </w:r>
      <w:r w:rsidRPr="00C85B3B">
        <w:rPr>
          <w:rFonts w:asciiTheme="majorBidi" w:hAnsiTheme="majorBidi" w:cstheme="majorBidi"/>
          <w:iCs/>
          <w:color w:val="auto"/>
        </w:rPr>
        <w:t xml:space="preserve">, (eds.) N. de Costa </w:t>
      </w:r>
      <w:r w:rsidRPr="00C85B3B">
        <w:rPr>
          <w:rFonts w:asciiTheme="majorBidi" w:hAnsiTheme="majorBidi" w:cstheme="majorBidi"/>
          <w:i/>
          <w:iCs/>
          <w:color w:val="auto"/>
        </w:rPr>
        <w:t xml:space="preserve">&amp; </w:t>
      </w:r>
      <w:r w:rsidRPr="00C85B3B">
        <w:rPr>
          <w:rFonts w:asciiTheme="majorBidi" w:hAnsiTheme="majorBidi" w:cstheme="majorBidi"/>
          <w:iCs/>
          <w:color w:val="auto"/>
        </w:rPr>
        <w:t xml:space="preserve">S. Wuppuluri, 91-106, Dordrecht, Holland: Springer. </w:t>
      </w:r>
    </w:p>
    <w:p w14:paraId="62AD273F" w14:textId="77777777" w:rsidR="006640F2" w:rsidRPr="00C85B3B" w:rsidRDefault="009402AD" w:rsidP="006640F2">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2020 “</w:t>
      </w:r>
      <w:r w:rsidRPr="00C85B3B">
        <w:rPr>
          <w:rFonts w:asciiTheme="majorBidi" w:hAnsiTheme="majorBidi" w:cstheme="majorBidi"/>
          <w:iCs/>
          <w:color w:val="auto"/>
        </w:rPr>
        <w:t xml:space="preserve">Epistemic Vertigo”, </w:t>
      </w:r>
      <w:r w:rsidRPr="00C85B3B">
        <w:rPr>
          <w:rFonts w:asciiTheme="majorBidi" w:hAnsiTheme="majorBidi" w:cstheme="majorBidi"/>
          <w:i/>
          <w:iCs/>
          <w:color w:val="auto"/>
        </w:rPr>
        <w:t>The Philosophy and Psychology of Ambivalence: Being of Two Minds</w:t>
      </w:r>
      <w:r w:rsidRPr="00C85B3B">
        <w:rPr>
          <w:rFonts w:asciiTheme="majorBidi" w:hAnsiTheme="majorBidi" w:cstheme="majorBidi"/>
          <w:iCs/>
          <w:color w:val="auto"/>
        </w:rPr>
        <w:t xml:space="preserve">, (eds.) B. Brogaard </w:t>
      </w:r>
      <w:r w:rsidRPr="00C85B3B">
        <w:rPr>
          <w:rFonts w:asciiTheme="majorBidi" w:hAnsiTheme="majorBidi" w:cstheme="majorBidi"/>
          <w:i/>
          <w:iCs/>
          <w:color w:val="auto"/>
        </w:rPr>
        <w:t>&amp;</w:t>
      </w:r>
      <w:r w:rsidRPr="00C85B3B">
        <w:rPr>
          <w:rFonts w:asciiTheme="majorBidi" w:hAnsiTheme="majorBidi" w:cstheme="majorBidi"/>
          <w:iCs/>
          <w:color w:val="auto"/>
        </w:rPr>
        <w:t xml:space="preserve"> D. Gatzia, 110-128, London: Routledge. </w:t>
      </w:r>
    </w:p>
    <w:p w14:paraId="2382023F" w14:textId="77777777" w:rsidR="006640F2" w:rsidRPr="00C85B3B" w:rsidRDefault="009402AD" w:rsidP="006640F2">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 xml:space="preserve">Pritchard, D. H. 2021a </w:t>
      </w:r>
      <w:r w:rsidRPr="00C85B3B">
        <w:rPr>
          <w:rFonts w:asciiTheme="majorBidi" w:hAnsiTheme="majorBidi" w:cstheme="majorBidi"/>
          <w:iCs/>
          <w:color w:val="auto"/>
        </w:rPr>
        <w:t xml:space="preserve">“Cavell and Philosophical Vertigo”, </w:t>
      </w:r>
      <w:r w:rsidRPr="00C85B3B">
        <w:rPr>
          <w:rFonts w:asciiTheme="majorBidi" w:hAnsiTheme="majorBidi" w:cstheme="majorBidi"/>
          <w:i/>
          <w:iCs/>
          <w:color w:val="auto"/>
        </w:rPr>
        <w:t>Journal for the History of Analytic Philosophy</w:t>
      </w:r>
      <w:r w:rsidRPr="00C85B3B">
        <w:rPr>
          <w:rFonts w:asciiTheme="majorBidi" w:hAnsiTheme="majorBidi" w:cstheme="majorBidi"/>
          <w:iCs/>
          <w:color w:val="auto"/>
        </w:rPr>
        <w:t xml:space="preserve"> 9, 7-22.</w:t>
      </w:r>
    </w:p>
    <w:p w14:paraId="625C27A2" w14:textId="2B638214" w:rsidR="009402AD" w:rsidRPr="00C85B3B" w:rsidRDefault="009402AD" w:rsidP="006640F2">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Pritchard, D. H. 2021b “</w:t>
      </w:r>
      <w:r w:rsidRPr="00C85B3B">
        <w:rPr>
          <w:rFonts w:asciiTheme="majorBidi" w:hAnsiTheme="majorBidi" w:cstheme="majorBidi"/>
          <w:iCs/>
          <w:color w:val="auto"/>
        </w:rPr>
        <w:t xml:space="preserve">Ignorance and Inquiry”, </w:t>
      </w:r>
      <w:r w:rsidRPr="00C85B3B">
        <w:rPr>
          <w:rFonts w:asciiTheme="majorBidi" w:hAnsiTheme="majorBidi" w:cstheme="majorBidi"/>
          <w:i/>
          <w:iCs/>
          <w:color w:val="auto"/>
        </w:rPr>
        <w:t>American Philosophical Quarterly</w:t>
      </w:r>
      <w:r w:rsidRPr="00C85B3B">
        <w:rPr>
          <w:rFonts w:asciiTheme="majorBidi" w:hAnsiTheme="majorBidi" w:cstheme="majorBidi"/>
          <w:iCs/>
          <w:color w:val="auto"/>
        </w:rPr>
        <w:t xml:space="preserve"> 58, 111-23.</w:t>
      </w:r>
    </w:p>
    <w:p w14:paraId="5064C05E" w14:textId="7B245F4F" w:rsidR="00606D67" w:rsidRPr="00C85B3B" w:rsidRDefault="008844F8" w:rsidP="00F64509">
      <w:pPr>
        <w:pStyle w:val="Body"/>
        <w:spacing w:after="160" w:line="480" w:lineRule="auto"/>
        <w:ind w:left="720" w:hanging="720"/>
        <w:jc w:val="both"/>
        <w:rPr>
          <w:rFonts w:asciiTheme="majorBidi" w:hAnsiTheme="majorBidi" w:cstheme="majorBidi"/>
          <w:color w:val="auto"/>
        </w:rPr>
      </w:pPr>
      <w:r w:rsidRPr="00C85B3B">
        <w:rPr>
          <w:rFonts w:asciiTheme="majorBidi" w:hAnsiTheme="majorBidi" w:cstheme="majorBidi"/>
          <w:color w:val="auto"/>
        </w:rPr>
        <w:t xml:space="preserve">Pritchard, D. </w:t>
      </w:r>
      <w:r w:rsidR="00C4465F" w:rsidRPr="00C85B3B">
        <w:rPr>
          <w:rFonts w:asciiTheme="majorBidi" w:hAnsiTheme="majorBidi" w:cstheme="majorBidi"/>
          <w:color w:val="auto"/>
        </w:rPr>
        <w:t xml:space="preserve">H. </w:t>
      </w:r>
      <w:r w:rsidRPr="00C85B3B">
        <w:rPr>
          <w:rFonts w:asciiTheme="majorBidi" w:hAnsiTheme="majorBidi" w:cstheme="majorBidi"/>
          <w:color w:val="auto"/>
        </w:rPr>
        <w:t>2021</w:t>
      </w:r>
      <w:r w:rsidR="009402AD" w:rsidRPr="00C85B3B">
        <w:rPr>
          <w:rFonts w:asciiTheme="majorBidi" w:hAnsiTheme="majorBidi" w:cstheme="majorBidi"/>
          <w:color w:val="auto"/>
        </w:rPr>
        <w:t>c</w:t>
      </w:r>
      <w:r w:rsidRPr="00C85B3B">
        <w:rPr>
          <w:rFonts w:asciiTheme="majorBidi" w:hAnsiTheme="majorBidi" w:cstheme="majorBidi"/>
          <w:color w:val="auto"/>
        </w:rPr>
        <w:t xml:space="preserve"> “Wittgensteinian hinge epistemology and deep disagreement”, </w:t>
      </w:r>
      <w:r w:rsidRPr="00C85B3B">
        <w:rPr>
          <w:rFonts w:asciiTheme="majorBidi" w:hAnsiTheme="majorBidi" w:cstheme="majorBidi"/>
          <w:i/>
          <w:iCs/>
          <w:color w:val="auto"/>
        </w:rPr>
        <w:t>Topoi</w:t>
      </w:r>
      <w:r w:rsidRPr="00C85B3B">
        <w:rPr>
          <w:rFonts w:asciiTheme="majorBidi" w:hAnsiTheme="majorBidi" w:cstheme="majorBidi"/>
          <w:color w:val="auto"/>
        </w:rPr>
        <w:t xml:space="preserve"> 40, pp. 1117-1125.</w:t>
      </w:r>
    </w:p>
    <w:p w14:paraId="39A50173" w14:textId="16A74DAB" w:rsidR="00C4465F" w:rsidRPr="00C85B3B" w:rsidRDefault="00C4465F" w:rsidP="00F64509">
      <w:pPr>
        <w:pStyle w:val="Body"/>
        <w:spacing w:after="160" w:line="480" w:lineRule="auto"/>
        <w:ind w:left="720" w:hanging="720"/>
        <w:jc w:val="both"/>
        <w:rPr>
          <w:rFonts w:asciiTheme="majorBidi" w:hAnsiTheme="majorBidi" w:cstheme="majorBidi"/>
          <w:color w:val="auto"/>
        </w:rPr>
      </w:pPr>
      <w:r w:rsidRPr="00C85B3B">
        <w:rPr>
          <w:rFonts w:asciiTheme="majorBidi" w:hAnsiTheme="majorBidi" w:cstheme="majorBidi"/>
          <w:color w:val="auto"/>
        </w:rPr>
        <w:lastRenderedPageBreak/>
        <w:t>Pritchard, D. H. 2022</w:t>
      </w:r>
      <w:r w:rsidR="003D5344" w:rsidRPr="00C85B3B">
        <w:rPr>
          <w:rFonts w:asciiTheme="majorBidi" w:hAnsiTheme="majorBidi" w:cstheme="majorBidi"/>
          <w:color w:val="auto"/>
        </w:rPr>
        <w:t>a</w:t>
      </w:r>
      <w:r w:rsidRPr="00C85B3B">
        <w:rPr>
          <w:rFonts w:asciiTheme="majorBidi" w:hAnsiTheme="majorBidi" w:cstheme="majorBidi"/>
          <w:color w:val="auto"/>
        </w:rPr>
        <w:t xml:space="preserve"> </w:t>
      </w:r>
      <w:r w:rsidRPr="00C85B3B">
        <w:rPr>
          <w:rFonts w:asciiTheme="majorBidi" w:hAnsiTheme="majorBidi" w:cstheme="majorBidi"/>
          <w:bCs/>
          <w:color w:val="auto"/>
        </w:rPr>
        <w:t xml:space="preserve">“Exploring Quasi-Fideism”, </w:t>
      </w:r>
      <w:bookmarkStart w:id="12" w:name="OLE_LINK58"/>
      <w:bookmarkStart w:id="13" w:name="OLE_LINK61"/>
      <w:r w:rsidRPr="00C85B3B">
        <w:rPr>
          <w:rFonts w:asciiTheme="majorBidi" w:hAnsiTheme="majorBidi" w:cstheme="majorBidi"/>
          <w:bCs/>
          <w:i/>
          <w:iCs/>
          <w:color w:val="auto"/>
        </w:rPr>
        <w:t>Extending Hinge Epistemology</w:t>
      </w:r>
      <w:r w:rsidRPr="00C85B3B">
        <w:rPr>
          <w:rFonts w:asciiTheme="majorBidi" w:hAnsiTheme="majorBidi" w:cstheme="majorBidi"/>
          <w:bCs/>
          <w:color w:val="auto"/>
        </w:rPr>
        <w:t xml:space="preserve">, (eds.) D. Moyal-Sharrock </w:t>
      </w:r>
      <w:r w:rsidRPr="00C85B3B">
        <w:rPr>
          <w:rFonts w:asciiTheme="majorBidi" w:hAnsiTheme="majorBidi" w:cstheme="majorBidi"/>
          <w:bCs/>
          <w:i/>
          <w:iCs/>
          <w:color w:val="auto"/>
        </w:rPr>
        <w:t>&amp;</w:t>
      </w:r>
      <w:r w:rsidRPr="00C85B3B">
        <w:rPr>
          <w:rFonts w:asciiTheme="majorBidi" w:hAnsiTheme="majorBidi" w:cstheme="majorBidi"/>
          <w:bCs/>
          <w:color w:val="auto"/>
        </w:rPr>
        <w:t xml:space="preserve"> C. Sandis, 26-48, London: Anthem.</w:t>
      </w:r>
      <w:bookmarkEnd w:id="12"/>
      <w:bookmarkEnd w:id="13"/>
    </w:p>
    <w:p w14:paraId="12A367E6" w14:textId="14707AD2" w:rsidR="00C4465F" w:rsidRPr="00C85B3B" w:rsidRDefault="00C4465F" w:rsidP="00F64509">
      <w:pPr>
        <w:pStyle w:val="Body"/>
        <w:spacing w:after="160" w:line="480" w:lineRule="auto"/>
        <w:ind w:left="720" w:hanging="720"/>
        <w:jc w:val="both"/>
        <w:rPr>
          <w:rFonts w:asciiTheme="majorBidi" w:hAnsiTheme="majorBidi" w:cstheme="majorBidi"/>
          <w:color w:val="auto"/>
        </w:rPr>
      </w:pPr>
      <w:r w:rsidRPr="00C85B3B">
        <w:rPr>
          <w:rFonts w:asciiTheme="majorBidi" w:hAnsiTheme="majorBidi" w:cstheme="majorBidi"/>
          <w:color w:val="auto"/>
        </w:rPr>
        <w:t>Pritchard, D. H. 2022</w:t>
      </w:r>
      <w:r w:rsidR="003D5344" w:rsidRPr="00C85B3B">
        <w:rPr>
          <w:rFonts w:asciiTheme="majorBidi" w:hAnsiTheme="majorBidi" w:cstheme="majorBidi"/>
          <w:color w:val="auto"/>
        </w:rPr>
        <w:t>b</w:t>
      </w:r>
      <w:r w:rsidRPr="00C85B3B">
        <w:rPr>
          <w:rFonts w:asciiTheme="majorBidi" w:hAnsiTheme="majorBidi" w:cstheme="majorBidi"/>
          <w:color w:val="auto"/>
        </w:rPr>
        <w:t xml:space="preserve"> “Hinge Commitments and Common </w:t>
      </w:r>
      <w:r w:rsidR="003225C4" w:rsidRPr="00C85B3B">
        <w:rPr>
          <w:rFonts w:asciiTheme="majorBidi" w:hAnsiTheme="majorBidi" w:cstheme="majorBidi"/>
          <w:color w:val="auto"/>
        </w:rPr>
        <w:t>Knowledge”</w:t>
      </w:r>
      <w:r w:rsidRPr="00C85B3B">
        <w:rPr>
          <w:rFonts w:asciiTheme="majorBidi" w:hAnsiTheme="majorBidi" w:cstheme="majorBidi"/>
          <w:color w:val="auto"/>
        </w:rPr>
        <w:t xml:space="preserve">, </w:t>
      </w:r>
      <w:r w:rsidRPr="00C85B3B">
        <w:rPr>
          <w:rFonts w:asciiTheme="majorBidi" w:hAnsiTheme="majorBidi" w:cstheme="majorBidi"/>
          <w:i/>
          <w:iCs/>
          <w:color w:val="auto"/>
        </w:rPr>
        <w:t>Synthese</w:t>
      </w:r>
      <w:r w:rsidRPr="00C85B3B">
        <w:rPr>
          <w:rFonts w:asciiTheme="majorBidi" w:hAnsiTheme="majorBidi" w:cstheme="majorBidi"/>
          <w:color w:val="auto"/>
        </w:rPr>
        <w:t xml:space="preserve"> [DOI: 10.1007/s11229-022-03647-5]. </w:t>
      </w:r>
      <w:bookmarkStart w:id="14" w:name="OLE_LINK62"/>
      <w:bookmarkStart w:id="15" w:name="OLE_LINK63"/>
    </w:p>
    <w:p w14:paraId="6D1E4E74" w14:textId="77777777" w:rsidR="006E4FD5" w:rsidRPr="00C85B3B" w:rsidRDefault="00C4465F" w:rsidP="006E4FD5">
      <w:pPr>
        <w:pStyle w:val="Body"/>
        <w:spacing w:after="160" w:line="480" w:lineRule="auto"/>
        <w:ind w:left="720" w:hanging="720"/>
        <w:jc w:val="both"/>
        <w:rPr>
          <w:rFonts w:asciiTheme="majorBidi" w:hAnsiTheme="majorBidi" w:cstheme="majorBidi"/>
          <w:color w:val="auto"/>
        </w:rPr>
      </w:pPr>
      <w:r w:rsidRPr="00C85B3B">
        <w:rPr>
          <w:rFonts w:asciiTheme="majorBidi" w:hAnsiTheme="majorBidi" w:cstheme="majorBidi"/>
          <w:color w:val="auto"/>
        </w:rPr>
        <w:t>Pritchard, D. H. 2022</w:t>
      </w:r>
      <w:r w:rsidR="003D5344" w:rsidRPr="00C85B3B">
        <w:rPr>
          <w:rFonts w:asciiTheme="majorBidi" w:hAnsiTheme="majorBidi" w:cstheme="majorBidi"/>
          <w:color w:val="auto"/>
        </w:rPr>
        <w:t>c</w:t>
      </w:r>
      <w:r w:rsidRPr="00C85B3B">
        <w:rPr>
          <w:rFonts w:asciiTheme="majorBidi" w:hAnsiTheme="majorBidi" w:cstheme="majorBidi"/>
          <w:color w:val="auto"/>
        </w:rPr>
        <w:t xml:space="preserve"> “Quasi-Fideism and Epistemic Relativism”, </w:t>
      </w:r>
      <w:r w:rsidRPr="00C85B3B">
        <w:rPr>
          <w:rFonts w:asciiTheme="majorBidi" w:hAnsiTheme="majorBidi" w:cstheme="majorBidi"/>
          <w:i/>
          <w:iCs/>
          <w:color w:val="auto"/>
        </w:rPr>
        <w:t>Inquiry</w:t>
      </w:r>
      <w:r w:rsidRPr="00C85B3B">
        <w:rPr>
          <w:rFonts w:asciiTheme="majorBidi" w:hAnsiTheme="majorBidi" w:cstheme="majorBidi"/>
          <w:color w:val="auto"/>
        </w:rPr>
        <w:t xml:space="preserve"> </w:t>
      </w:r>
      <w:r w:rsidR="00C373FC" w:rsidRPr="00C85B3B">
        <w:rPr>
          <w:rFonts w:asciiTheme="majorBidi" w:hAnsiTheme="majorBidi" w:cstheme="majorBidi"/>
          <w:color w:val="auto"/>
        </w:rPr>
        <w:t>[</w:t>
      </w:r>
      <w:r w:rsidRPr="00C85B3B">
        <w:rPr>
          <w:rFonts w:asciiTheme="majorBidi" w:hAnsiTheme="majorBidi" w:cstheme="majorBidi"/>
          <w:color w:val="auto"/>
        </w:rPr>
        <w:t xml:space="preserve">DOI: 10.1080/0020174X.2022.2135820]. </w:t>
      </w:r>
      <w:bookmarkEnd w:id="14"/>
      <w:bookmarkEnd w:id="15"/>
    </w:p>
    <w:p w14:paraId="3EB10782" w14:textId="53E48ABD" w:rsidR="006E4FD5" w:rsidRPr="00C85B3B" w:rsidRDefault="006E4FD5" w:rsidP="006E4FD5">
      <w:pPr>
        <w:pStyle w:val="Body"/>
        <w:spacing w:after="160" w:line="480" w:lineRule="auto"/>
        <w:ind w:left="720" w:hanging="720"/>
        <w:jc w:val="both"/>
        <w:rPr>
          <w:rFonts w:asciiTheme="majorBidi" w:hAnsiTheme="majorBidi" w:cstheme="majorBidi"/>
          <w:color w:val="auto"/>
          <w:lang w:val="en-GB"/>
        </w:rPr>
      </w:pPr>
      <w:r w:rsidRPr="00C85B3B">
        <w:rPr>
          <w:rFonts w:asciiTheme="majorBidi" w:hAnsiTheme="majorBidi" w:cstheme="majorBidi"/>
          <w:color w:val="auto"/>
        </w:rPr>
        <w:t>Pritchard, D. H. 2023</w:t>
      </w:r>
      <w:r w:rsidR="004935D1" w:rsidRPr="00C85B3B">
        <w:rPr>
          <w:rFonts w:asciiTheme="majorBidi" w:hAnsiTheme="majorBidi" w:cstheme="majorBidi"/>
          <w:color w:val="auto"/>
        </w:rPr>
        <w:t>a</w:t>
      </w:r>
      <w:r w:rsidRPr="00C85B3B">
        <w:rPr>
          <w:rFonts w:asciiTheme="majorBidi" w:hAnsiTheme="majorBidi" w:cstheme="majorBidi"/>
          <w:color w:val="auto"/>
        </w:rPr>
        <w:t xml:space="preserve"> </w:t>
      </w:r>
      <w:r w:rsidR="004935D1" w:rsidRPr="00C85B3B">
        <w:rPr>
          <w:rFonts w:asciiTheme="majorBidi" w:hAnsiTheme="majorBidi" w:cstheme="majorBidi"/>
          <w:color w:val="auto"/>
          <w:lang w:val="en-GB"/>
        </w:rPr>
        <w:t>“</w:t>
      </w:r>
      <w:r w:rsidRPr="00C85B3B">
        <w:rPr>
          <w:rFonts w:asciiTheme="majorBidi" w:hAnsiTheme="majorBidi" w:cstheme="majorBidi"/>
          <w:color w:val="auto"/>
          <w:lang w:val="en-GB"/>
        </w:rPr>
        <w:t>Hinge Commitments and Trust</w:t>
      </w:r>
      <w:r w:rsidR="004935D1" w:rsidRPr="00C85B3B">
        <w:rPr>
          <w:rFonts w:asciiTheme="majorBidi" w:hAnsiTheme="majorBidi" w:cstheme="majorBidi"/>
          <w:color w:val="auto"/>
          <w:lang w:val="en-GB"/>
        </w:rPr>
        <w:t>”</w:t>
      </w:r>
      <w:r w:rsidRPr="00C85B3B">
        <w:rPr>
          <w:rFonts w:asciiTheme="majorBidi" w:hAnsiTheme="majorBidi" w:cstheme="majorBidi"/>
          <w:color w:val="auto"/>
          <w:lang w:val="en-GB"/>
        </w:rPr>
        <w:t xml:space="preserve">, </w:t>
      </w:r>
      <w:r w:rsidRPr="00C85B3B">
        <w:rPr>
          <w:rFonts w:asciiTheme="majorBidi" w:hAnsiTheme="majorBidi" w:cstheme="majorBidi"/>
          <w:i/>
          <w:iCs/>
          <w:color w:val="auto"/>
          <w:lang w:val="en-GB"/>
        </w:rPr>
        <w:t>Synthese</w:t>
      </w:r>
      <w:r w:rsidRPr="00C85B3B">
        <w:rPr>
          <w:rFonts w:asciiTheme="majorBidi" w:hAnsiTheme="majorBidi" w:cstheme="majorBidi"/>
          <w:color w:val="auto"/>
          <w:lang w:val="en-GB"/>
        </w:rPr>
        <w:t xml:space="preserve"> [DOI: 10.1007/s11229-023-04378-x].</w:t>
      </w:r>
    </w:p>
    <w:p w14:paraId="0E29C928" w14:textId="14757939" w:rsidR="006E4FD5" w:rsidRPr="00C85B3B" w:rsidRDefault="004D5D55" w:rsidP="006E4FD5">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 xml:space="preserve">Pritchard, D. H. 2023b </w:t>
      </w:r>
      <w:r w:rsidR="006E4FD5" w:rsidRPr="00C85B3B">
        <w:rPr>
          <w:rFonts w:asciiTheme="majorBidi" w:hAnsiTheme="majorBidi" w:cstheme="majorBidi"/>
          <w:color w:val="auto"/>
        </w:rPr>
        <w:t>“</w:t>
      </w:r>
      <w:r w:rsidR="006E4FD5" w:rsidRPr="00C85B3B">
        <w:rPr>
          <w:rFonts w:asciiTheme="majorBidi" w:hAnsiTheme="majorBidi" w:cstheme="majorBidi"/>
          <w:iCs/>
          <w:color w:val="auto"/>
        </w:rPr>
        <w:t>Skepticism, Fideism, and Religious Epistemology”,</w:t>
      </w:r>
      <w:r w:rsidR="006E4FD5" w:rsidRPr="00C85B3B">
        <w:rPr>
          <w:rFonts w:asciiTheme="majorBidi" w:hAnsiTheme="majorBidi" w:cstheme="majorBidi"/>
          <w:i/>
          <w:iCs/>
          <w:color w:val="auto"/>
        </w:rPr>
        <w:t> Cambridge Handbook of Religious Epistemology</w:t>
      </w:r>
      <w:r w:rsidR="006E4FD5" w:rsidRPr="00C85B3B">
        <w:rPr>
          <w:rFonts w:asciiTheme="majorBidi" w:hAnsiTheme="majorBidi" w:cstheme="majorBidi"/>
          <w:iCs/>
          <w:color w:val="auto"/>
        </w:rPr>
        <w:t>,</w:t>
      </w:r>
      <w:r w:rsidR="006E4FD5" w:rsidRPr="00C85B3B">
        <w:rPr>
          <w:rFonts w:asciiTheme="majorBidi" w:hAnsiTheme="majorBidi" w:cstheme="majorBidi"/>
          <w:i/>
          <w:iCs/>
          <w:color w:val="auto"/>
        </w:rPr>
        <w:t> </w:t>
      </w:r>
      <w:r w:rsidR="006E4FD5" w:rsidRPr="00C85B3B">
        <w:rPr>
          <w:rFonts w:asciiTheme="majorBidi" w:hAnsiTheme="majorBidi" w:cstheme="majorBidi"/>
          <w:iCs/>
          <w:color w:val="auto"/>
        </w:rPr>
        <w:t xml:space="preserve">(eds.) J. Fuqua, J. Greco </w:t>
      </w:r>
      <w:r w:rsidR="006E4FD5" w:rsidRPr="00C85B3B">
        <w:rPr>
          <w:rFonts w:asciiTheme="majorBidi" w:hAnsiTheme="majorBidi" w:cstheme="majorBidi"/>
          <w:i/>
          <w:iCs/>
          <w:color w:val="auto"/>
        </w:rPr>
        <w:t>&amp;</w:t>
      </w:r>
      <w:r w:rsidR="006E4FD5" w:rsidRPr="00C85B3B">
        <w:rPr>
          <w:rFonts w:asciiTheme="majorBidi" w:hAnsiTheme="majorBidi" w:cstheme="majorBidi"/>
          <w:iCs/>
          <w:color w:val="auto"/>
        </w:rPr>
        <w:t xml:space="preserve"> T. McNabb, </w:t>
      </w:r>
      <w:r w:rsidR="006E4FD5" w:rsidRPr="00C85B3B">
        <w:rPr>
          <w:rFonts w:asciiTheme="majorBidi" w:hAnsiTheme="majorBidi" w:cstheme="majorBidi"/>
          <w:iCs/>
          <w:color w:val="auto"/>
          <w:lang w:val="en-GB"/>
        </w:rPr>
        <w:t xml:space="preserve">83-95, </w:t>
      </w:r>
      <w:r w:rsidR="006E4FD5" w:rsidRPr="00C85B3B">
        <w:rPr>
          <w:rFonts w:asciiTheme="majorBidi" w:hAnsiTheme="majorBidi" w:cstheme="majorBidi"/>
          <w:iCs/>
          <w:color w:val="auto"/>
        </w:rPr>
        <w:t>Cambridge: Cambridge University Press.</w:t>
      </w:r>
    </w:p>
    <w:p w14:paraId="0B36B962" w14:textId="1EA109A2" w:rsidR="004D5D55" w:rsidRPr="00C85B3B" w:rsidRDefault="004D5D55" w:rsidP="006E4FD5">
      <w:pPr>
        <w:pStyle w:val="Body"/>
        <w:spacing w:after="160" w:line="480" w:lineRule="auto"/>
        <w:ind w:left="720" w:hanging="720"/>
        <w:jc w:val="both"/>
        <w:rPr>
          <w:rFonts w:asciiTheme="majorBidi" w:hAnsiTheme="majorBidi" w:cstheme="majorBidi"/>
          <w:iCs/>
          <w:color w:val="auto"/>
        </w:rPr>
      </w:pPr>
      <w:r w:rsidRPr="00C85B3B">
        <w:rPr>
          <w:rFonts w:asciiTheme="majorBidi" w:hAnsiTheme="majorBidi" w:cstheme="majorBidi"/>
          <w:color w:val="auto"/>
        </w:rPr>
        <w:t xml:space="preserve">Pritchard, D. H. 2023c </w:t>
      </w:r>
      <w:r w:rsidRPr="00C85B3B">
        <w:rPr>
          <w:rFonts w:asciiTheme="majorBidi" w:hAnsiTheme="majorBidi" w:cstheme="majorBidi"/>
          <w:iCs/>
          <w:color w:val="auto"/>
          <w:lang w:val="en-GB"/>
        </w:rPr>
        <w:t xml:space="preserve">‘Understanding Deep Disagreement’, </w:t>
      </w:r>
      <w:r w:rsidRPr="00C85B3B">
        <w:rPr>
          <w:rFonts w:asciiTheme="majorBidi" w:hAnsiTheme="majorBidi" w:cstheme="majorBidi"/>
          <w:i/>
          <w:iCs/>
          <w:color w:val="auto"/>
          <w:lang w:val="en-GB"/>
        </w:rPr>
        <w:t>International Journal of Philosophical Studies</w:t>
      </w:r>
      <w:r w:rsidRPr="00C85B3B">
        <w:rPr>
          <w:rFonts w:asciiTheme="majorBidi" w:hAnsiTheme="majorBidi" w:cstheme="majorBidi"/>
          <w:iCs/>
          <w:color w:val="auto"/>
          <w:lang w:val="en-GB"/>
        </w:rPr>
        <w:t xml:space="preserve"> 31, 303-17.</w:t>
      </w:r>
    </w:p>
    <w:p w14:paraId="515942D0" w14:textId="0809FA43" w:rsidR="006E4FD5" w:rsidRPr="00C85B3B" w:rsidRDefault="006E4FD5" w:rsidP="006E4FD5">
      <w:pPr>
        <w:pStyle w:val="Body"/>
        <w:spacing w:after="160" w:line="480" w:lineRule="auto"/>
        <w:ind w:left="720" w:hanging="720"/>
        <w:jc w:val="both"/>
        <w:rPr>
          <w:rFonts w:asciiTheme="majorBidi" w:hAnsiTheme="majorBidi" w:cstheme="majorBidi"/>
          <w:lang w:val="en-GB"/>
        </w:rPr>
      </w:pPr>
      <w:r w:rsidRPr="00C85B3B">
        <w:rPr>
          <w:rFonts w:asciiTheme="majorBidi" w:hAnsiTheme="majorBidi" w:cstheme="majorBidi"/>
          <w:color w:val="auto"/>
        </w:rPr>
        <w:t>Pritchard, D. H. 2024</w:t>
      </w:r>
      <w:r w:rsidR="004935D1" w:rsidRPr="00C85B3B">
        <w:rPr>
          <w:rFonts w:asciiTheme="majorBidi" w:hAnsiTheme="majorBidi" w:cstheme="majorBidi"/>
          <w:color w:val="auto"/>
        </w:rPr>
        <w:t>a</w:t>
      </w:r>
      <w:r w:rsidRPr="00C85B3B">
        <w:rPr>
          <w:rFonts w:asciiTheme="majorBidi" w:hAnsiTheme="majorBidi" w:cstheme="majorBidi"/>
          <w:color w:val="auto"/>
        </w:rPr>
        <w:t xml:space="preserve"> </w:t>
      </w:r>
      <w:r w:rsidR="004935D1" w:rsidRPr="00C85B3B">
        <w:rPr>
          <w:rFonts w:asciiTheme="majorBidi" w:hAnsiTheme="majorBidi" w:cstheme="majorBidi"/>
          <w:lang w:val="en-GB"/>
        </w:rPr>
        <w:t>“</w:t>
      </w:r>
      <w:r w:rsidRPr="00C85B3B">
        <w:rPr>
          <w:rFonts w:asciiTheme="majorBidi" w:hAnsiTheme="majorBidi" w:cstheme="majorBidi"/>
          <w:lang w:val="en-GB"/>
        </w:rPr>
        <w:t>Beliefs, Delusions, Hinge Commitments</w:t>
      </w:r>
      <w:r w:rsidR="004935D1" w:rsidRPr="00C85B3B">
        <w:rPr>
          <w:rFonts w:asciiTheme="majorBidi" w:hAnsiTheme="majorBidi" w:cstheme="majorBidi"/>
          <w:lang w:val="en-GB"/>
        </w:rPr>
        <w:t>”</w:t>
      </w:r>
      <w:r w:rsidRPr="00C85B3B">
        <w:rPr>
          <w:rFonts w:asciiTheme="majorBidi" w:hAnsiTheme="majorBidi" w:cstheme="majorBidi"/>
          <w:lang w:val="en-GB"/>
        </w:rPr>
        <w:t xml:space="preserve">, </w:t>
      </w:r>
      <w:r w:rsidRPr="00C85B3B">
        <w:rPr>
          <w:rFonts w:asciiTheme="majorBidi" w:hAnsiTheme="majorBidi" w:cstheme="majorBidi"/>
          <w:i/>
          <w:iCs/>
          <w:lang w:val="en-GB"/>
        </w:rPr>
        <w:t>Synthese</w:t>
      </w:r>
      <w:r w:rsidRPr="00C85B3B">
        <w:rPr>
          <w:rFonts w:asciiTheme="majorBidi" w:hAnsiTheme="majorBidi" w:cstheme="majorBidi"/>
          <w:lang w:val="en-GB"/>
        </w:rPr>
        <w:t xml:space="preserve"> [DOI: </w:t>
      </w:r>
      <w:hyperlink r:id="rId8" w:tgtFrame="_blank" w:history="1">
        <w:r w:rsidRPr="00C85B3B">
          <w:rPr>
            <w:rStyle w:val="Hyperlink"/>
            <w:rFonts w:asciiTheme="majorBidi" w:hAnsiTheme="majorBidi" w:cstheme="majorBidi"/>
            <w:lang w:val="en-GB"/>
          </w:rPr>
          <w:t>https://doi.org/10.1007/s11229-024-04703-y</w:t>
        </w:r>
      </w:hyperlink>
      <w:r w:rsidRPr="00C85B3B">
        <w:rPr>
          <w:rFonts w:asciiTheme="majorBidi" w:hAnsiTheme="majorBidi" w:cstheme="majorBidi"/>
          <w:lang w:val="en-GB"/>
        </w:rPr>
        <w:t>].</w:t>
      </w:r>
    </w:p>
    <w:p w14:paraId="2960A955" w14:textId="1AA333EE" w:rsidR="006E4FD5" w:rsidRPr="00C85B3B" w:rsidRDefault="006E4FD5" w:rsidP="006E4FD5">
      <w:pPr>
        <w:pStyle w:val="Body"/>
        <w:spacing w:after="160" w:line="480" w:lineRule="auto"/>
        <w:ind w:left="720" w:hanging="720"/>
        <w:jc w:val="both"/>
        <w:rPr>
          <w:rFonts w:asciiTheme="majorBidi" w:hAnsiTheme="majorBidi" w:cstheme="majorBidi"/>
          <w:lang w:val="en-GB"/>
        </w:rPr>
      </w:pPr>
      <w:r w:rsidRPr="00C85B3B">
        <w:rPr>
          <w:rFonts w:asciiTheme="majorBidi" w:hAnsiTheme="majorBidi" w:cstheme="majorBidi"/>
          <w:color w:val="auto"/>
        </w:rPr>
        <w:t>Pritchard, D. H. 2024</w:t>
      </w:r>
      <w:r w:rsidR="004935D1" w:rsidRPr="00C85B3B">
        <w:rPr>
          <w:rFonts w:asciiTheme="majorBidi" w:hAnsiTheme="majorBidi" w:cstheme="majorBidi"/>
          <w:color w:val="auto"/>
        </w:rPr>
        <w:t>b</w:t>
      </w:r>
      <w:r w:rsidRPr="00C85B3B">
        <w:rPr>
          <w:rFonts w:asciiTheme="majorBidi" w:hAnsiTheme="majorBidi" w:cstheme="majorBidi"/>
          <w:color w:val="auto"/>
        </w:rPr>
        <w:t xml:space="preserve"> </w:t>
      </w:r>
      <w:r w:rsidR="004935D1" w:rsidRPr="00C85B3B">
        <w:rPr>
          <w:rFonts w:asciiTheme="majorBidi" w:hAnsiTheme="majorBidi" w:cstheme="majorBidi"/>
          <w:lang w:val="en-GB"/>
        </w:rPr>
        <w:t>“</w:t>
      </w:r>
      <w:r w:rsidRPr="00C85B3B">
        <w:rPr>
          <w:rFonts w:asciiTheme="majorBidi" w:hAnsiTheme="majorBidi" w:cstheme="majorBidi"/>
          <w:lang w:val="en-GB"/>
        </w:rPr>
        <w:t>Religious Vertigo</w:t>
      </w:r>
      <w:r w:rsidR="004935D1" w:rsidRPr="00C85B3B">
        <w:rPr>
          <w:rFonts w:asciiTheme="majorBidi" w:hAnsiTheme="majorBidi" w:cstheme="majorBidi"/>
          <w:lang w:val="en-GB"/>
        </w:rPr>
        <w:t>”</w:t>
      </w:r>
      <w:r w:rsidRPr="00C85B3B">
        <w:rPr>
          <w:rFonts w:asciiTheme="majorBidi" w:hAnsiTheme="majorBidi" w:cstheme="majorBidi"/>
          <w:lang w:val="en-GB"/>
        </w:rPr>
        <w:t xml:space="preserve">, </w:t>
      </w:r>
      <w:r w:rsidRPr="00C85B3B">
        <w:rPr>
          <w:rFonts w:asciiTheme="majorBidi" w:hAnsiTheme="majorBidi" w:cstheme="majorBidi"/>
          <w:i/>
          <w:iCs/>
          <w:lang w:val="en-GB"/>
        </w:rPr>
        <w:t>Religionsphilosophie nach Wittgenstein</w:t>
      </w:r>
      <w:r w:rsidRPr="00C85B3B">
        <w:rPr>
          <w:rFonts w:asciiTheme="majorBidi" w:hAnsiTheme="majorBidi" w:cstheme="majorBidi"/>
          <w:lang w:val="en-GB"/>
        </w:rPr>
        <w:t xml:space="preserve"> (</w:t>
      </w:r>
      <w:r w:rsidRPr="00C85B3B">
        <w:rPr>
          <w:rFonts w:asciiTheme="majorBidi" w:hAnsiTheme="majorBidi" w:cstheme="majorBidi"/>
          <w:i/>
          <w:iCs/>
          <w:lang w:val="en-GB"/>
        </w:rPr>
        <w:t>Philosophy of Religion after Wittgenstein</w:t>
      </w:r>
      <w:r w:rsidRPr="00C85B3B">
        <w:rPr>
          <w:rFonts w:asciiTheme="majorBidi" w:hAnsiTheme="majorBidi" w:cstheme="majorBidi"/>
          <w:lang w:val="en-GB"/>
        </w:rPr>
        <w:t xml:space="preserve">), (ed.) E. Ramharter, 287-306, Stuttgart, Germany: Metzler/Springer. </w:t>
      </w:r>
    </w:p>
    <w:p w14:paraId="28B83E88" w14:textId="7B50913B" w:rsidR="006E4FD5" w:rsidRPr="00C85B3B" w:rsidRDefault="006E4FD5" w:rsidP="006E4FD5">
      <w:pPr>
        <w:pStyle w:val="Body"/>
        <w:spacing w:after="160" w:line="480" w:lineRule="auto"/>
        <w:ind w:left="720" w:hanging="720"/>
        <w:jc w:val="both"/>
        <w:rPr>
          <w:rFonts w:asciiTheme="majorBidi" w:hAnsiTheme="majorBidi" w:cstheme="majorBidi"/>
          <w:lang w:val="en-GB"/>
        </w:rPr>
      </w:pPr>
      <w:r w:rsidRPr="00C85B3B">
        <w:rPr>
          <w:rFonts w:asciiTheme="majorBidi" w:hAnsiTheme="majorBidi" w:cstheme="majorBidi"/>
          <w:color w:val="auto"/>
        </w:rPr>
        <w:t>Pritchard, D. H. 2025</w:t>
      </w:r>
      <w:r w:rsidR="004935D1" w:rsidRPr="00C85B3B">
        <w:rPr>
          <w:rFonts w:asciiTheme="majorBidi" w:hAnsiTheme="majorBidi" w:cstheme="majorBidi"/>
          <w:color w:val="auto"/>
        </w:rPr>
        <w:t>a</w:t>
      </w:r>
      <w:r w:rsidRPr="00C85B3B">
        <w:rPr>
          <w:rFonts w:asciiTheme="majorBidi" w:hAnsiTheme="majorBidi" w:cstheme="majorBidi"/>
          <w:color w:val="auto"/>
        </w:rPr>
        <w:t xml:space="preserve"> </w:t>
      </w:r>
      <w:r w:rsidR="004935D1" w:rsidRPr="00C85B3B">
        <w:rPr>
          <w:rFonts w:asciiTheme="majorBidi" w:hAnsiTheme="majorBidi" w:cstheme="majorBidi"/>
          <w:lang w:val="en-GB"/>
        </w:rPr>
        <w:t>“</w:t>
      </w:r>
      <w:r w:rsidRPr="00C85B3B">
        <w:rPr>
          <w:rFonts w:asciiTheme="majorBidi" w:hAnsiTheme="majorBidi" w:cstheme="majorBidi"/>
          <w:lang w:val="en-GB"/>
        </w:rPr>
        <w:t>Axiological Hinge Commitments</w:t>
      </w:r>
      <w:r w:rsidR="004935D1" w:rsidRPr="00C85B3B">
        <w:rPr>
          <w:rFonts w:asciiTheme="majorBidi" w:hAnsiTheme="majorBidi" w:cstheme="majorBidi"/>
          <w:lang w:val="en-GB"/>
        </w:rPr>
        <w:t>”</w:t>
      </w:r>
      <w:r w:rsidRPr="00C85B3B">
        <w:rPr>
          <w:rFonts w:asciiTheme="majorBidi" w:hAnsiTheme="majorBidi" w:cstheme="majorBidi"/>
          <w:lang w:val="en-GB"/>
        </w:rPr>
        <w:t xml:space="preserve">, </w:t>
      </w:r>
      <w:r w:rsidRPr="00C85B3B">
        <w:rPr>
          <w:rFonts w:asciiTheme="majorBidi" w:hAnsiTheme="majorBidi" w:cstheme="majorBidi"/>
          <w:i/>
          <w:iCs/>
          <w:lang w:val="en-GB"/>
        </w:rPr>
        <w:t>Synthese</w:t>
      </w:r>
      <w:r w:rsidRPr="00C85B3B">
        <w:rPr>
          <w:rFonts w:asciiTheme="majorBidi" w:hAnsiTheme="majorBidi" w:cstheme="majorBidi"/>
          <w:lang w:val="en-GB"/>
        </w:rPr>
        <w:t xml:space="preserve"> [DOI: 10.1007/s11229-024-04898-0]. </w:t>
      </w:r>
    </w:p>
    <w:p w14:paraId="494CFE86" w14:textId="1D8CD210" w:rsidR="006E4FD5" w:rsidRDefault="006E4FD5" w:rsidP="006E4FD5">
      <w:pPr>
        <w:pStyle w:val="Body"/>
        <w:spacing w:after="160" w:line="480" w:lineRule="auto"/>
        <w:ind w:left="720" w:hanging="720"/>
        <w:jc w:val="both"/>
        <w:rPr>
          <w:rFonts w:asciiTheme="majorBidi" w:hAnsiTheme="majorBidi" w:cstheme="majorBidi"/>
          <w:lang w:val="en-GB"/>
        </w:rPr>
      </w:pPr>
      <w:r w:rsidRPr="00C85B3B">
        <w:rPr>
          <w:rFonts w:asciiTheme="majorBidi" w:hAnsiTheme="majorBidi" w:cstheme="majorBidi"/>
          <w:color w:val="auto"/>
        </w:rPr>
        <w:t>Pritchard, D. H. 2025</w:t>
      </w:r>
      <w:r w:rsidR="00C85B3B" w:rsidRPr="00C85B3B">
        <w:rPr>
          <w:rFonts w:asciiTheme="majorBidi" w:hAnsiTheme="majorBidi" w:cstheme="majorBidi"/>
          <w:color w:val="auto"/>
        </w:rPr>
        <w:t>b</w:t>
      </w:r>
      <w:r w:rsidRPr="00C85B3B">
        <w:rPr>
          <w:rFonts w:asciiTheme="majorBidi" w:hAnsiTheme="majorBidi" w:cstheme="majorBidi"/>
          <w:color w:val="auto"/>
        </w:rPr>
        <w:t xml:space="preserve"> </w:t>
      </w:r>
      <w:r w:rsidRPr="00C85B3B">
        <w:rPr>
          <w:rFonts w:asciiTheme="majorBidi" w:hAnsiTheme="majorBidi" w:cstheme="majorBidi"/>
          <w:lang w:val="en-GB"/>
        </w:rPr>
        <w:t xml:space="preserve">“Religious Hinge Commitments and Ideology”, </w:t>
      </w:r>
      <w:r w:rsidRPr="00C85B3B">
        <w:rPr>
          <w:rFonts w:asciiTheme="majorBidi" w:hAnsiTheme="majorBidi" w:cstheme="majorBidi"/>
          <w:i/>
          <w:iCs/>
          <w:lang w:val="en-GB"/>
        </w:rPr>
        <w:t>Religions</w:t>
      </w:r>
      <w:r w:rsidRPr="00C85B3B">
        <w:rPr>
          <w:rFonts w:asciiTheme="majorBidi" w:hAnsiTheme="majorBidi" w:cstheme="majorBidi"/>
          <w:lang w:val="en-GB"/>
        </w:rPr>
        <w:t xml:space="preserve"> [DOI: </w:t>
      </w:r>
      <w:hyperlink r:id="rId9" w:history="1">
        <w:r w:rsidRPr="00C85B3B">
          <w:rPr>
            <w:rStyle w:val="Hyperlink"/>
            <w:rFonts w:asciiTheme="majorBidi" w:hAnsiTheme="majorBidi" w:cstheme="majorBidi"/>
            <w:lang w:val="en-GB"/>
          </w:rPr>
          <w:t>https://doi.org/10.3390/rel16050631</w:t>
        </w:r>
      </w:hyperlink>
      <w:r w:rsidRPr="00C85B3B">
        <w:rPr>
          <w:rFonts w:asciiTheme="majorBidi" w:hAnsiTheme="majorBidi" w:cstheme="majorBidi"/>
          <w:lang w:val="en-GB"/>
        </w:rPr>
        <w:t>].</w:t>
      </w:r>
    </w:p>
    <w:p w14:paraId="2E26C5B8" w14:textId="4C89D93C" w:rsidR="00831095" w:rsidRPr="00831095" w:rsidRDefault="00831095" w:rsidP="00831095">
      <w:pPr>
        <w:pStyle w:val="Body"/>
        <w:spacing w:after="160" w:line="480" w:lineRule="auto"/>
        <w:ind w:left="720" w:hanging="720"/>
        <w:jc w:val="both"/>
        <w:rPr>
          <w:rFonts w:asciiTheme="majorBidi" w:hAnsiTheme="majorBidi" w:cstheme="majorBidi"/>
          <w:i/>
          <w:iCs/>
          <w:color w:val="auto"/>
          <w:lang w:val="en-GB"/>
        </w:rPr>
      </w:pPr>
      <w:r w:rsidRPr="00C85B3B">
        <w:rPr>
          <w:rFonts w:asciiTheme="majorBidi" w:hAnsiTheme="majorBidi" w:cstheme="majorBidi"/>
          <w:color w:val="auto"/>
        </w:rPr>
        <w:lastRenderedPageBreak/>
        <w:t xml:space="preserve">Pritchard, D. H. </w:t>
      </w:r>
      <w:r>
        <w:rPr>
          <w:rFonts w:asciiTheme="majorBidi" w:hAnsiTheme="majorBidi" w:cstheme="majorBidi"/>
          <w:color w:val="auto"/>
        </w:rPr>
        <w:t xml:space="preserve">2026 </w:t>
      </w:r>
      <w:r>
        <w:rPr>
          <w:rFonts w:asciiTheme="majorBidi" w:hAnsiTheme="majorBidi" w:cstheme="majorBidi"/>
          <w:lang w:val="en-GB"/>
        </w:rPr>
        <w:t>“</w:t>
      </w:r>
      <w:r w:rsidRPr="00831095">
        <w:rPr>
          <w:rFonts w:asciiTheme="majorBidi" w:hAnsiTheme="majorBidi" w:cstheme="majorBidi"/>
          <w:lang w:val="en-GB"/>
        </w:rPr>
        <w:t>Honest Doubt: Quasi-Fideism and Epistemic Vertigo</w:t>
      </w:r>
      <w:r>
        <w:rPr>
          <w:rFonts w:asciiTheme="majorBidi" w:hAnsiTheme="majorBidi" w:cstheme="majorBidi"/>
          <w:lang w:val="en-GB"/>
        </w:rPr>
        <w:t>”</w:t>
      </w:r>
      <w:r w:rsidRPr="00831095">
        <w:rPr>
          <w:rFonts w:asciiTheme="majorBidi" w:hAnsiTheme="majorBidi" w:cstheme="majorBidi"/>
          <w:lang w:val="en-GB"/>
        </w:rPr>
        <w:t xml:space="preserve">, </w:t>
      </w:r>
      <w:r w:rsidRPr="00831095">
        <w:rPr>
          <w:rFonts w:asciiTheme="majorBidi" w:hAnsiTheme="majorBidi" w:cstheme="majorBidi"/>
          <w:i/>
          <w:iCs/>
          <w:lang w:val="en-GB"/>
        </w:rPr>
        <w:t>Wittgenstein and the Epistemology of Religion</w:t>
      </w:r>
      <w:r w:rsidRPr="00831095">
        <w:rPr>
          <w:rFonts w:asciiTheme="majorBidi" w:hAnsiTheme="majorBidi" w:cstheme="majorBidi"/>
          <w:lang w:val="en-GB"/>
        </w:rPr>
        <w:t xml:space="preserve">, (eds.) D. H. Pritchard </w:t>
      </w:r>
      <w:r w:rsidRPr="00831095">
        <w:rPr>
          <w:rFonts w:asciiTheme="majorBidi" w:hAnsiTheme="majorBidi" w:cstheme="majorBidi"/>
          <w:i/>
          <w:iCs/>
          <w:lang w:val="en-GB"/>
        </w:rPr>
        <w:t>&amp;</w:t>
      </w:r>
      <w:r w:rsidRPr="00831095">
        <w:rPr>
          <w:rFonts w:asciiTheme="majorBidi" w:hAnsiTheme="majorBidi" w:cstheme="majorBidi"/>
          <w:lang w:val="en-GB"/>
        </w:rPr>
        <w:t xml:space="preserve"> N. Venturinha, Oxford: Wiley-Blackwell. </w:t>
      </w:r>
    </w:p>
    <w:p w14:paraId="3DAA9F5C" w14:textId="62848293" w:rsidR="00831095" w:rsidRDefault="006E4FD5" w:rsidP="00831095">
      <w:pPr>
        <w:pStyle w:val="Body"/>
        <w:spacing w:after="160" w:line="480" w:lineRule="auto"/>
        <w:ind w:left="720" w:hanging="720"/>
        <w:jc w:val="both"/>
        <w:rPr>
          <w:rFonts w:asciiTheme="majorBidi" w:hAnsiTheme="majorBidi" w:cstheme="majorBidi"/>
          <w:i/>
          <w:iCs/>
          <w:color w:val="auto"/>
          <w:lang w:val="en-GB"/>
        </w:rPr>
      </w:pPr>
      <w:r w:rsidRPr="00C85B3B">
        <w:rPr>
          <w:rFonts w:asciiTheme="majorBidi" w:hAnsiTheme="majorBidi" w:cstheme="majorBidi"/>
          <w:color w:val="auto"/>
        </w:rPr>
        <w:t xml:space="preserve">Pritchard, D. H. </w:t>
      </w:r>
      <w:r w:rsidRPr="00C85B3B">
        <w:rPr>
          <w:rFonts w:asciiTheme="majorBidi" w:hAnsiTheme="majorBidi" w:cstheme="majorBidi"/>
          <w:i/>
          <w:iCs/>
          <w:color w:val="auto"/>
        </w:rPr>
        <w:t>Forthcoming</w:t>
      </w:r>
      <w:r w:rsidR="00831095">
        <w:rPr>
          <w:rFonts w:asciiTheme="majorBidi" w:hAnsiTheme="majorBidi" w:cstheme="majorBidi"/>
          <w:i/>
          <w:iCs/>
          <w:color w:val="auto"/>
        </w:rPr>
        <w:t>a</w:t>
      </w:r>
      <w:r w:rsidRPr="00C85B3B">
        <w:rPr>
          <w:rFonts w:asciiTheme="majorBidi" w:hAnsiTheme="majorBidi" w:cstheme="majorBidi"/>
          <w:color w:val="auto"/>
        </w:rPr>
        <w:t xml:space="preserve"> </w:t>
      </w:r>
      <w:r w:rsidRPr="00C85B3B">
        <w:rPr>
          <w:rFonts w:asciiTheme="majorBidi" w:hAnsiTheme="majorBidi" w:cstheme="majorBidi"/>
          <w:color w:val="auto"/>
          <w:lang w:val="en-GB"/>
        </w:rPr>
        <w:t xml:space="preserve">“Hinge Commitments: The Restrictive Reading”, </w:t>
      </w:r>
      <w:r w:rsidRPr="00C85B3B">
        <w:rPr>
          <w:rFonts w:asciiTheme="majorBidi" w:hAnsiTheme="majorBidi" w:cstheme="majorBidi"/>
          <w:i/>
          <w:iCs/>
          <w:color w:val="auto"/>
          <w:lang w:val="en-GB"/>
        </w:rPr>
        <w:t>Synthese.</w:t>
      </w:r>
    </w:p>
    <w:p w14:paraId="5F89D660" w14:textId="576772C8" w:rsidR="00831095" w:rsidRPr="00831095" w:rsidRDefault="00831095" w:rsidP="00831095">
      <w:pPr>
        <w:pStyle w:val="Body"/>
        <w:spacing w:after="160" w:line="480" w:lineRule="auto"/>
        <w:ind w:left="720" w:hanging="720"/>
        <w:jc w:val="both"/>
        <w:rPr>
          <w:rFonts w:asciiTheme="majorBidi" w:hAnsiTheme="majorBidi" w:cstheme="majorBidi"/>
          <w:color w:val="auto"/>
        </w:rPr>
      </w:pPr>
      <w:r w:rsidRPr="00C85B3B">
        <w:rPr>
          <w:rFonts w:asciiTheme="majorBidi" w:hAnsiTheme="majorBidi" w:cstheme="majorBidi"/>
          <w:color w:val="auto"/>
        </w:rPr>
        <w:t xml:space="preserve">Pritchard, D. H. </w:t>
      </w:r>
      <w:r w:rsidRPr="00C85B3B">
        <w:rPr>
          <w:rFonts w:asciiTheme="majorBidi" w:hAnsiTheme="majorBidi" w:cstheme="majorBidi"/>
          <w:i/>
          <w:iCs/>
          <w:color w:val="auto"/>
        </w:rPr>
        <w:t>Forthcoming</w:t>
      </w:r>
      <w:r>
        <w:rPr>
          <w:rFonts w:asciiTheme="majorBidi" w:hAnsiTheme="majorBidi" w:cstheme="majorBidi"/>
          <w:i/>
          <w:iCs/>
          <w:color w:val="auto"/>
        </w:rPr>
        <w:t>b</w:t>
      </w:r>
      <w:r w:rsidRPr="00C85B3B">
        <w:rPr>
          <w:rFonts w:asciiTheme="majorBidi" w:hAnsiTheme="majorBidi" w:cstheme="majorBidi"/>
          <w:color w:val="auto"/>
        </w:rPr>
        <w:t xml:space="preserve"> “Pyrrhonism and Wittgensteinian Quietism”, </w:t>
      </w:r>
      <w:r w:rsidRPr="00C85B3B">
        <w:rPr>
          <w:rFonts w:asciiTheme="majorBidi" w:hAnsiTheme="majorBidi" w:cstheme="majorBidi"/>
          <w:i/>
          <w:color w:val="auto"/>
        </w:rPr>
        <w:t>Ancient Scepticism and Contemporary Philosophy</w:t>
      </w:r>
      <w:r w:rsidRPr="00C85B3B">
        <w:rPr>
          <w:rFonts w:asciiTheme="majorBidi" w:hAnsiTheme="majorBidi" w:cstheme="majorBidi"/>
          <w:color w:val="auto"/>
        </w:rPr>
        <w:t xml:space="preserve">, (eds.) L. Perissinotto </w:t>
      </w:r>
      <w:r w:rsidRPr="00C85B3B">
        <w:rPr>
          <w:rFonts w:asciiTheme="majorBidi" w:hAnsiTheme="majorBidi" w:cstheme="majorBidi"/>
          <w:i/>
          <w:color w:val="auto"/>
        </w:rPr>
        <w:t>&amp;</w:t>
      </w:r>
      <w:r w:rsidRPr="00C85B3B">
        <w:rPr>
          <w:rFonts w:asciiTheme="majorBidi" w:hAnsiTheme="majorBidi" w:cstheme="majorBidi"/>
          <w:color w:val="auto"/>
        </w:rPr>
        <w:t xml:space="preserve"> B. R. Cámara, Milan, Italy: Mimesis International.</w:t>
      </w:r>
    </w:p>
    <w:p w14:paraId="34618DCF" w14:textId="06617787" w:rsidR="00606D67" w:rsidRPr="00F64509" w:rsidRDefault="00606D67"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 xml:space="preserve">Pryor, J. 2004. </w:t>
      </w:r>
      <w:r w:rsidR="006E4FD5">
        <w:rPr>
          <w:rFonts w:asciiTheme="majorBidi" w:hAnsiTheme="majorBidi" w:cstheme="majorBidi"/>
          <w:sz w:val="24"/>
          <w:szCs w:val="24"/>
          <w:lang w:val="en-GB"/>
        </w:rPr>
        <w:t>“</w:t>
      </w:r>
      <w:r w:rsidRPr="00F64509">
        <w:rPr>
          <w:rFonts w:asciiTheme="majorBidi" w:hAnsiTheme="majorBidi" w:cstheme="majorBidi"/>
          <w:sz w:val="24"/>
          <w:szCs w:val="24"/>
          <w:lang w:val="en-GB"/>
        </w:rPr>
        <w:t>What</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s wrong with Moore</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s argument?</w:t>
      </w:r>
      <w:r w:rsidR="006E4FD5">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 </w:t>
      </w:r>
      <w:r w:rsidRPr="00F64509">
        <w:rPr>
          <w:rFonts w:asciiTheme="majorBidi" w:hAnsiTheme="majorBidi" w:cstheme="majorBidi"/>
          <w:i/>
          <w:sz w:val="24"/>
          <w:szCs w:val="24"/>
          <w:lang w:val="en-GB"/>
        </w:rPr>
        <w:t xml:space="preserve">Philosophical Issues </w:t>
      </w:r>
      <w:r w:rsidRPr="00F64509">
        <w:rPr>
          <w:rFonts w:asciiTheme="majorBidi" w:hAnsiTheme="majorBidi" w:cstheme="majorBidi"/>
          <w:sz w:val="24"/>
          <w:szCs w:val="24"/>
          <w:lang w:val="en-GB"/>
        </w:rPr>
        <w:t>14: 349–378.</w:t>
      </w:r>
    </w:p>
    <w:p w14:paraId="61DC911C" w14:textId="77777777" w:rsidR="00E278B8" w:rsidRPr="00F64509" w:rsidRDefault="00E278B8" w:rsidP="00F64509">
      <w:pPr>
        <w:spacing w:line="480" w:lineRule="auto"/>
        <w:ind w:left="720" w:hanging="720"/>
        <w:jc w:val="both"/>
        <w:rPr>
          <w:rFonts w:asciiTheme="majorBidi" w:hAnsiTheme="majorBidi" w:cstheme="majorBidi"/>
          <w:sz w:val="24"/>
          <w:szCs w:val="24"/>
        </w:rPr>
      </w:pPr>
      <w:r w:rsidRPr="00F64509">
        <w:rPr>
          <w:rFonts w:asciiTheme="majorBidi" w:eastAsiaTheme="minorEastAsia" w:hAnsiTheme="majorBidi" w:cstheme="majorBidi"/>
          <w:sz w:val="24"/>
          <w:szCs w:val="24"/>
        </w:rPr>
        <w:t xml:space="preserve">Ranalli, C. 2020 “Deep disagreement and hinge epistemology”, </w:t>
      </w:r>
      <w:r w:rsidRPr="00F64509">
        <w:rPr>
          <w:rFonts w:asciiTheme="majorBidi" w:eastAsiaTheme="minorEastAsia" w:hAnsiTheme="majorBidi" w:cstheme="majorBidi"/>
          <w:i/>
          <w:sz w:val="24"/>
          <w:szCs w:val="24"/>
        </w:rPr>
        <w:t>Synthese</w:t>
      </w:r>
      <w:r w:rsidRPr="00F64509">
        <w:rPr>
          <w:rFonts w:asciiTheme="majorBidi" w:eastAsiaTheme="minorEastAsia" w:hAnsiTheme="majorBidi" w:cstheme="majorBidi"/>
          <w:sz w:val="24"/>
          <w:szCs w:val="24"/>
        </w:rPr>
        <w:t xml:space="preserve"> 197, pp. 4975-5007.</w:t>
      </w:r>
    </w:p>
    <w:p w14:paraId="4C31C500" w14:textId="77777777" w:rsidR="00490A07" w:rsidRDefault="00E278B8" w:rsidP="00F64509">
      <w:pPr>
        <w:widowControl w:val="0"/>
        <w:autoSpaceDE w:val="0"/>
        <w:autoSpaceDN w:val="0"/>
        <w:adjustRightInd w:val="0"/>
        <w:spacing w:line="480" w:lineRule="auto"/>
        <w:ind w:left="720" w:hanging="720"/>
        <w:jc w:val="both"/>
        <w:rPr>
          <w:rStyle w:val="Strong"/>
          <w:rFonts w:asciiTheme="majorBidi" w:hAnsiTheme="majorBidi" w:cstheme="majorBidi"/>
          <w:b w:val="0"/>
          <w:bCs w:val="0"/>
          <w:sz w:val="24"/>
          <w:szCs w:val="24"/>
          <w:bdr w:val="none" w:sz="0" w:space="0" w:color="auto" w:frame="1"/>
          <w:shd w:val="clear" w:color="auto" w:fill="FFFFFF"/>
        </w:rPr>
      </w:pPr>
      <w:r w:rsidRPr="00F64509">
        <w:rPr>
          <w:rStyle w:val="Strong"/>
          <w:rFonts w:asciiTheme="majorBidi" w:hAnsiTheme="majorBidi" w:cstheme="majorBidi"/>
          <w:b w:val="0"/>
          <w:bCs w:val="0"/>
          <w:sz w:val="24"/>
          <w:szCs w:val="24"/>
          <w:bdr w:val="none" w:sz="0" w:space="0" w:color="auto" w:frame="1"/>
          <w:shd w:val="clear" w:color="auto" w:fill="FFFFFF"/>
        </w:rPr>
        <w:t xml:space="preserve">Ranalli, C. 2021 “What is deep disagreement?”, </w:t>
      </w:r>
      <w:r w:rsidRPr="00F64509">
        <w:rPr>
          <w:rStyle w:val="Strong"/>
          <w:rFonts w:asciiTheme="majorBidi" w:hAnsiTheme="majorBidi" w:cstheme="majorBidi"/>
          <w:b w:val="0"/>
          <w:bCs w:val="0"/>
          <w:i/>
          <w:sz w:val="24"/>
          <w:szCs w:val="24"/>
          <w:bdr w:val="none" w:sz="0" w:space="0" w:color="auto" w:frame="1"/>
          <w:shd w:val="clear" w:color="auto" w:fill="FFFFFF"/>
        </w:rPr>
        <w:t>Topoi</w:t>
      </w:r>
      <w:r w:rsidRPr="00F64509">
        <w:rPr>
          <w:rStyle w:val="Strong"/>
          <w:rFonts w:asciiTheme="majorBidi" w:hAnsiTheme="majorBidi" w:cstheme="majorBidi"/>
          <w:b w:val="0"/>
          <w:bCs w:val="0"/>
          <w:sz w:val="24"/>
          <w:szCs w:val="24"/>
          <w:bdr w:val="none" w:sz="0" w:space="0" w:color="auto" w:frame="1"/>
          <w:shd w:val="clear" w:color="auto" w:fill="FFFFFF"/>
        </w:rPr>
        <w:t>, 40, pp. 983-998.</w:t>
      </w:r>
    </w:p>
    <w:p w14:paraId="17BAF481" w14:textId="7D9827CC" w:rsidR="00AF60B2" w:rsidRPr="00F64509" w:rsidRDefault="00AF60B2" w:rsidP="00F64509">
      <w:pPr>
        <w:widowControl w:val="0"/>
        <w:autoSpaceDE w:val="0"/>
        <w:autoSpaceDN w:val="0"/>
        <w:adjustRightInd w:val="0"/>
        <w:spacing w:line="480" w:lineRule="auto"/>
        <w:ind w:left="720" w:hanging="720"/>
        <w:jc w:val="both"/>
        <w:rPr>
          <w:rStyle w:val="Strong"/>
          <w:rFonts w:asciiTheme="majorBidi" w:hAnsiTheme="majorBidi" w:cstheme="majorBidi"/>
          <w:b w:val="0"/>
          <w:bCs w:val="0"/>
          <w:sz w:val="24"/>
          <w:szCs w:val="24"/>
          <w:bdr w:val="none" w:sz="0" w:space="0" w:color="auto" w:frame="1"/>
          <w:shd w:val="clear" w:color="auto" w:fill="FFFFFF"/>
        </w:rPr>
      </w:pPr>
      <w:r w:rsidRPr="00F64509">
        <w:rPr>
          <w:rStyle w:val="Strong"/>
          <w:rFonts w:asciiTheme="majorBidi" w:hAnsiTheme="majorBidi" w:cstheme="majorBidi"/>
          <w:b w:val="0"/>
          <w:bCs w:val="0"/>
          <w:sz w:val="24"/>
          <w:szCs w:val="24"/>
          <w:bdr w:val="none" w:sz="0" w:space="0" w:color="auto" w:frame="1"/>
          <w:shd w:val="clear" w:color="auto" w:fill="FFFFFF"/>
        </w:rPr>
        <w:t>Ranalli, C. 202</w:t>
      </w:r>
      <w:r>
        <w:rPr>
          <w:rStyle w:val="Strong"/>
          <w:rFonts w:asciiTheme="majorBidi" w:hAnsiTheme="majorBidi" w:cstheme="majorBidi"/>
          <w:b w:val="0"/>
          <w:bCs w:val="0"/>
          <w:sz w:val="24"/>
          <w:szCs w:val="24"/>
          <w:bdr w:val="none" w:sz="0" w:space="0" w:color="auto" w:frame="1"/>
          <w:shd w:val="clear" w:color="auto" w:fill="FFFFFF"/>
        </w:rPr>
        <w:t>2</w:t>
      </w:r>
      <w:r w:rsidRPr="00F64509">
        <w:rPr>
          <w:rStyle w:val="Strong"/>
          <w:rFonts w:asciiTheme="majorBidi" w:hAnsiTheme="majorBidi" w:cstheme="majorBidi"/>
          <w:b w:val="0"/>
          <w:bCs w:val="0"/>
          <w:sz w:val="24"/>
          <w:szCs w:val="24"/>
          <w:bdr w:val="none" w:sz="0" w:space="0" w:color="auto" w:frame="1"/>
          <w:shd w:val="clear" w:color="auto" w:fill="FFFFFF"/>
        </w:rPr>
        <w:t xml:space="preserve"> </w:t>
      </w:r>
      <w:r w:rsidRPr="00AF60B2">
        <w:rPr>
          <w:rFonts w:asciiTheme="majorBidi" w:hAnsiTheme="majorBidi" w:cstheme="majorBidi"/>
          <w:sz w:val="24"/>
          <w:szCs w:val="24"/>
          <w:bdr w:val="none" w:sz="0" w:space="0" w:color="auto" w:frame="1"/>
          <w:shd w:val="clear" w:color="auto" w:fill="FFFFFF"/>
        </w:rPr>
        <w:t>‘Political Hinge Epistemology’, Extending Hinge Epistemology, (eds.) C. Sandis &amp;</w:t>
      </w:r>
      <w:r>
        <w:rPr>
          <w:rFonts w:asciiTheme="majorBidi" w:hAnsiTheme="majorBidi" w:cstheme="majorBidi"/>
          <w:sz w:val="24"/>
          <w:szCs w:val="24"/>
          <w:bdr w:val="none" w:sz="0" w:space="0" w:color="auto" w:frame="1"/>
          <w:shd w:val="clear" w:color="auto" w:fill="FFFFFF"/>
        </w:rPr>
        <w:t xml:space="preserve"> </w:t>
      </w:r>
      <w:r w:rsidRPr="00AF60B2">
        <w:rPr>
          <w:rFonts w:asciiTheme="majorBidi" w:hAnsiTheme="majorBidi" w:cstheme="majorBidi"/>
          <w:sz w:val="24"/>
          <w:szCs w:val="24"/>
          <w:bdr w:val="none" w:sz="0" w:space="0" w:color="auto" w:frame="1"/>
          <w:shd w:val="clear" w:color="auto" w:fill="FFFFFF"/>
        </w:rPr>
        <w:t>D.</w:t>
      </w:r>
      <w:r>
        <w:rPr>
          <w:rFonts w:asciiTheme="majorBidi" w:hAnsiTheme="majorBidi" w:cstheme="majorBidi"/>
          <w:sz w:val="24"/>
          <w:szCs w:val="24"/>
          <w:bdr w:val="none" w:sz="0" w:space="0" w:color="auto" w:frame="1"/>
          <w:shd w:val="clear" w:color="auto" w:fill="FFFFFF"/>
        </w:rPr>
        <w:t xml:space="preserve"> </w:t>
      </w:r>
      <w:r w:rsidRPr="00AF60B2">
        <w:rPr>
          <w:rFonts w:asciiTheme="majorBidi" w:hAnsiTheme="majorBidi" w:cstheme="majorBidi"/>
          <w:sz w:val="24"/>
          <w:szCs w:val="24"/>
          <w:bdr w:val="none" w:sz="0" w:space="0" w:color="auto" w:frame="1"/>
          <w:shd w:val="clear" w:color="auto" w:fill="FFFFFF"/>
        </w:rPr>
        <w:t>Moyal-Sharrock, 127-48, London: Anthem. </w:t>
      </w:r>
    </w:p>
    <w:p w14:paraId="1DBB9684" w14:textId="611A6216" w:rsidR="00606D67" w:rsidRPr="00F64509" w:rsidRDefault="00606D67" w:rsidP="00F64509">
      <w:pPr>
        <w:widowControl w:val="0"/>
        <w:autoSpaceDE w:val="0"/>
        <w:autoSpaceDN w:val="0"/>
        <w:adjustRightInd w:val="0"/>
        <w:spacing w:line="480" w:lineRule="auto"/>
        <w:ind w:left="720" w:hanging="720"/>
        <w:jc w:val="both"/>
        <w:rPr>
          <w:rFonts w:asciiTheme="majorBidi" w:hAnsiTheme="majorBidi" w:cstheme="majorBidi"/>
          <w:sz w:val="24"/>
          <w:szCs w:val="24"/>
          <w:bdr w:val="none" w:sz="0" w:space="0" w:color="auto" w:frame="1"/>
          <w:shd w:val="clear" w:color="auto" w:fill="FFFFFF"/>
        </w:rPr>
      </w:pPr>
      <w:r w:rsidRPr="00F64509">
        <w:rPr>
          <w:rFonts w:asciiTheme="majorBidi" w:hAnsiTheme="majorBidi" w:cstheme="majorBidi"/>
          <w:sz w:val="24"/>
          <w:szCs w:val="24"/>
          <w:lang w:val="en-GB"/>
        </w:rPr>
        <w:t>Schönbaumsfeld, G. 201</w:t>
      </w:r>
      <w:r w:rsidR="008C1FF1" w:rsidRPr="00F64509">
        <w:rPr>
          <w:rFonts w:asciiTheme="majorBidi" w:hAnsiTheme="majorBidi" w:cstheme="majorBidi"/>
          <w:sz w:val="24"/>
          <w:szCs w:val="24"/>
          <w:lang w:val="en-GB"/>
        </w:rPr>
        <w:t xml:space="preserve">6 </w:t>
      </w:r>
      <w:r w:rsidRPr="00F64509">
        <w:rPr>
          <w:rFonts w:asciiTheme="majorBidi" w:hAnsiTheme="majorBidi" w:cstheme="majorBidi"/>
          <w:i/>
          <w:sz w:val="24"/>
          <w:szCs w:val="24"/>
          <w:lang w:val="en-GB"/>
        </w:rPr>
        <w:t>The Illusion of Doubt</w:t>
      </w:r>
      <w:r w:rsidRPr="00F64509">
        <w:rPr>
          <w:rFonts w:asciiTheme="majorBidi" w:hAnsiTheme="majorBidi" w:cstheme="majorBidi"/>
          <w:sz w:val="24"/>
          <w:szCs w:val="24"/>
          <w:lang w:val="en-GB"/>
        </w:rPr>
        <w:t>, Oxford, Oxford University Press.</w:t>
      </w:r>
    </w:p>
    <w:p w14:paraId="3262D325" w14:textId="161426D7" w:rsidR="00E278B8" w:rsidRPr="00F64509" w:rsidRDefault="00E278B8"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Sosa, E. 2021 </w:t>
      </w:r>
      <w:r w:rsidRPr="00F64509">
        <w:rPr>
          <w:rFonts w:asciiTheme="majorBidi" w:hAnsiTheme="majorBidi" w:cstheme="majorBidi"/>
          <w:i/>
          <w:iCs/>
          <w:sz w:val="24"/>
          <w:szCs w:val="24"/>
        </w:rPr>
        <w:t>Epistemic Explanations. A Theory of Telic Normativity, and What It Explains</w:t>
      </w:r>
      <w:r w:rsidRPr="00F64509">
        <w:rPr>
          <w:rFonts w:asciiTheme="majorBidi" w:hAnsiTheme="majorBidi" w:cstheme="majorBidi"/>
          <w:sz w:val="24"/>
          <w:szCs w:val="24"/>
        </w:rPr>
        <w:t>, Oxford, Oxford University Press.</w:t>
      </w:r>
    </w:p>
    <w:p w14:paraId="408A0BB6" w14:textId="089C7D8B" w:rsidR="00606D67" w:rsidRPr="00F64509" w:rsidRDefault="00606D67"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 xml:space="preserve">Stern, R. 2017 “Trust is basic”, in P. Faulkner &amp; T. Simpson (eds.) </w:t>
      </w:r>
      <w:r w:rsidRPr="00F64509">
        <w:rPr>
          <w:rFonts w:asciiTheme="majorBidi" w:hAnsiTheme="majorBidi" w:cstheme="majorBidi"/>
          <w:i/>
          <w:sz w:val="24"/>
          <w:szCs w:val="24"/>
        </w:rPr>
        <w:t>The Philosophy of Trust</w:t>
      </w:r>
      <w:r w:rsidRPr="00F64509">
        <w:rPr>
          <w:rFonts w:asciiTheme="majorBidi" w:hAnsiTheme="majorBidi" w:cstheme="majorBidi"/>
          <w:sz w:val="24"/>
          <w:szCs w:val="24"/>
        </w:rPr>
        <w:t>, OUP, pp. 272-93.</w:t>
      </w:r>
    </w:p>
    <w:p w14:paraId="76890340" w14:textId="12E9C495" w:rsidR="00490A07" w:rsidRPr="00F64509" w:rsidRDefault="00490A07"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 xml:space="preserve">Strawson, P. F. 1985. </w:t>
      </w:r>
      <w:r w:rsidRPr="00F64509">
        <w:rPr>
          <w:rFonts w:asciiTheme="majorBidi" w:hAnsiTheme="majorBidi" w:cstheme="majorBidi"/>
          <w:i/>
          <w:iCs/>
          <w:sz w:val="24"/>
          <w:szCs w:val="24"/>
          <w:lang w:val="en-GB"/>
        </w:rPr>
        <w:t>Skepticism and Naturalism: Some Varieties</w:t>
      </w:r>
      <w:r w:rsidRPr="00F64509">
        <w:rPr>
          <w:rFonts w:asciiTheme="majorBidi" w:hAnsiTheme="majorBidi" w:cstheme="majorBidi"/>
          <w:sz w:val="24"/>
          <w:szCs w:val="24"/>
          <w:lang w:val="en-GB"/>
        </w:rPr>
        <w:t xml:space="preserve">, New York: Columbia University Press. </w:t>
      </w:r>
    </w:p>
    <w:p w14:paraId="68806D03" w14:textId="77777777" w:rsidR="00606D67" w:rsidRPr="00F64509" w:rsidRDefault="00606D67"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 xml:space="preserve">Williams, M. 1991. </w:t>
      </w:r>
      <w:r w:rsidRPr="00F64509">
        <w:rPr>
          <w:rFonts w:asciiTheme="majorBidi" w:hAnsiTheme="majorBidi" w:cstheme="majorBidi"/>
          <w:i/>
          <w:sz w:val="24"/>
          <w:szCs w:val="24"/>
          <w:lang w:val="en-GB"/>
        </w:rPr>
        <w:t>Unnatural Doubts</w:t>
      </w:r>
      <w:r w:rsidRPr="00F64509">
        <w:rPr>
          <w:rFonts w:asciiTheme="majorBidi" w:hAnsiTheme="majorBidi" w:cstheme="majorBidi"/>
          <w:sz w:val="24"/>
          <w:szCs w:val="24"/>
          <w:lang w:val="en-GB"/>
        </w:rPr>
        <w:t>, Cambridge (MA), Blackwell.</w:t>
      </w:r>
    </w:p>
    <w:p w14:paraId="21E2E9AD" w14:textId="33C726E2" w:rsidR="00606D67" w:rsidRPr="00F64509" w:rsidRDefault="00606D67" w:rsidP="00F64509">
      <w:pPr>
        <w:spacing w:line="480" w:lineRule="auto"/>
        <w:ind w:left="720" w:hanging="720"/>
        <w:jc w:val="both"/>
        <w:rPr>
          <w:rFonts w:asciiTheme="majorBidi" w:hAnsiTheme="majorBidi" w:cstheme="majorBidi"/>
          <w:sz w:val="24"/>
          <w:szCs w:val="24"/>
          <w:lang w:val="en-GB"/>
        </w:rPr>
      </w:pPr>
      <w:r w:rsidRPr="00F64509">
        <w:rPr>
          <w:rFonts w:asciiTheme="majorBidi" w:hAnsiTheme="majorBidi" w:cstheme="majorBidi"/>
          <w:sz w:val="24"/>
          <w:szCs w:val="24"/>
          <w:lang w:val="en-GB"/>
        </w:rPr>
        <w:t xml:space="preserve">Williams, M. 2004a </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Wittgenstein</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s </w:t>
      </w:r>
      <w:r w:rsidR="008C1FF1" w:rsidRPr="00F64509">
        <w:rPr>
          <w:rFonts w:asciiTheme="majorBidi" w:hAnsiTheme="majorBidi" w:cstheme="majorBidi"/>
          <w:sz w:val="24"/>
          <w:szCs w:val="24"/>
          <w:lang w:val="en-GB"/>
        </w:rPr>
        <w:t>r</w:t>
      </w:r>
      <w:r w:rsidRPr="00F64509">
        <w:rPr>
          <w:rFonts w:asciiTheme="majorBidi" w:hAnsiTheme="majorBidi" w:cstheme="majorBidi"/>
          <w:sz w:val="24"/>
          <w:szCs w:val="24"/>
          <w:lang w:val="en-GB"/>
        </w:rPr>
        <w:t xml:space="preserve">efutation of </w:t>
      </w:r>
      <w:r w:rsidR="008C1FF1" w:rsidRPr="00F64509">
        <w:rPr>
          <w:rFonts w:asciiTheme="majorBidi" w:hAnsiTheme="majorBidi" w:cstheme="majorBidi"/>
          <w:sz w:val="24"/>
          <w:szCs w:val="24"/>
          <w:lang w:val="en-GB"/>
        </w:rPr>
        <w:t>i</w:t>
      </w:r>
      <w:r w:rsidRPr="00F64509">
        <w:rPr>
          <w:rFonts w:asciiTheme="majorBidi" w:hAnsiTheme="majorBidi" w:cstheme="majorBidi"/>
          <w:sz w:val="24"/>
          <w:szCs w:val="24"/>
          <w:lang w:val="en-GB"/>
        </w:rPr>
        <w:t>dealism</w:t>
      </w:r>
      <w:r w:rsidR="00B53A7E" w:rsidRPr="00F64509">
        <w:rPr>
          <w:rFonts w:asciiTheme="majorBidi" w:hAnsiTheme="majorBidi" w:cstheme="majorBidi"/>
          <w:sz w:val="24"/>
          <w:szCs w:val="24"/>
          <w:lang w:val="en-GB"/>
        </w:rPr>
        <w:t>’</w:t>
      </w:r>
      <w:r w:rsidRPr="00F64509">
        <w:rPr>
          <w:rFonts w:asciiTheme="majorBidi" w:hAnsiTheme="majorBidi" w:cstheme="majorBidi"/>
          <w:sz w:val="24"/>
          <w:szCs w:val="24"/>
          <w:lang w:val="en-GB"/>
        </w:rPr>
        <w:t xml:space="preserve">, in D. McManus (ed.) </w:t>
      </w:r>
      <w:r w:rsidRPr="00F64509">
        <w:rPr>
          <w:rFonts w:asciiTheme="majorBidi" w:hAnsiTheme="majorBidi" w:cstheme="majorBidi"/>
          <w:i/>
          <w:sz w:val="24"/>
          <w:szCs w:val="24"/>
          <w:lang w:val="en-GB"/>
        </w:rPr>
        <w:t>Wittgenstein and Scepticism</w:t>
      </w:r>
      <w:r w:rsidRPr="00F64509">
        <w:rPr>
          <w:rFonts w:asciiTheme="majorBidi" w:hAnsiTheme="majorBidi" w:cstheme="majorBidi"/>
          <w:sz w:val="24"/>
          <w:szCs w:val="24"/>
          <w:lang w:val="en-GB"/>
        </w:rPr>
        <w:t>, London–New York, Routledge</w:t>
      </w:r>
      <w:r w:rsidR="008C1FF1" w:rsidRPr="00F64509">
        <w:rPr>
          <w:rFonts w:asciiTheme="majorBidi" w:hAnsiTheme="majorBidi" w:cstheme="majorBidi"/>
          <w:sz w:val="24"/>
          <w:szCs w:val="24"/>
          <w:lang w:val="en-GB"/>
        </w:rPr>
        <w:t>, pp.</w:t>
      </w:r>
      <w:r w:rsidRPr="00F64509">
        <w:rPr>
          <w:rFonts w:asciiTheme="majorBidi" w:hAnsiTheme="majorBidi" w:cstheme="majorBidi"/>
          <w:sz w:val="24"/>
          <w:szCs w:val="24"/>
          <w:lang w:val="en-GB"/>
        </w:rPr>
        <w:t xml:space="preserve"> 76–96.</w:t>
      </w:r>
    </w:p>
    <w:p w14:paraId="33016E2B" w14:textId="3238E3F4" w:rsidR="008C1FF1" w:rsidRPr="00F64509" w:rsidRDefault="008C1FF1" w:rsidP="00F64509">
      <w:pPr>
        <w:pStyle w:val="Body"/>
        <w:spacing w:after="160" w:line="480" w:lineRule="auto"/>
        <w:ind w:left="720" w:hanging="720"/>
        <w:jc w:val="both"/>
        <w:rPr>
          <w:rFonts w:asciiTheme="majorBidi" w:hAnsiTheme="majorBidi" w:cstheme="majorBidi"/>
          <w:color w:val="auto"/>
        </w:rPr>
      </w:pPr>
      <w:r w:rsidRPr="00F64509">
        <w:rPr>
          <w:rFonts w:asciiTheme="majorBidi" w:hAnsiTheme="majorBidi" w:cstheme="majorBidi"/>
          <w:color w:val="auto"/>
          <w:lang w:val="de-DE"/>
        </w:rPr>
        <w:lastRenderedPageBreak/>
        <w:t xml:space="preserve">Williams, M. 2004b </w:t>
      </w:r>
      <w:r w:rsidRPr="00F64509">
        <w:rPr>
          <w:rFonts w:asciiTheme="majorBidi" w:hAnsiTheme="majorBidi" w:cstheme="majorBidi"/>
          <w:color w:val="auto"/>
        </w:rPr>
        <w:t xml:space="preserve">“Wittgenstein, truth and certainty.” In M. Kölbel and B. Weiss </w:t>
      </w:r>
      <w:r w:rsidRPr="00F64509">
        <w:rPr>
          <w:rFonts w:asciiTheme="majorBidi" w:hAnsiTheme="majorBidi" w:cstheme="majorBidi"/>
          <w:color w:val="auto"/>
          <w:lang w:val="en-GB"/>
        </w:rPr>
        <w:t xml:space="preserve">(eds.) </w:t>
      </w:r>
      <w:r w:rsidRPr="00F64509">
        <w:rPr>
          <w:rFonts w:asciiTheme="majorBidi" w:hAnsiTheme="majorBidi" w:cstheme="majorBidi"/>
          <w:i/>
          <w:iCs/>
          <w:color w:val="auto"/>
          <w:lang w:val="de-DE"/>
        </w:rPr>
        <w:t>Wittgenstein</w:t>
      </w:r>
      <w:r w:rsidR="00B53A7E" w:rsidRPr="00F64509">
        <w:rPr>
          <w:rFonts w:asciiTheme="majorBidi" w:hAnsiTheme="majorBidi" w:cstheme="majorBidi"/>
          <w:i/>
          <w:iCs/>
          <w:color w:val="auto"/>
        </w:rPr>
        <w:t>’</w:t>
      </w:r>
      <w:r w:rsidRPr="00F64509">
        <w:rPr>
          <w:rFonts w:asciiTheme="majorBidi" w:hAnsiTheme="majorBidi" w:cstheme="majorBidi"/>
          <w:i/>
          <w:iCs/>
          <w:color w:val="auto"/>
        </w:rPr>
        <w:t>s Lasting Significance</w:t>
      </w:r>
      <w:r w:rsidRPr="00F64509">
        <w:rPr>
          <w:rFonts w:asciiTheme="majorBidi" w:hAnsiTheme="majorBidi" w:cstheme="majorBidi"/>
          <w:color w:val="auto"/>
        </w:rPr>
        <w:t>, London-New York, Routledge, pp. 249–84.</w:t>
      </w:r>
    </w:p>
    <w:p w14:paraId="453DBF12" w14:textId="379BD33E" w:rsidR="008C1FF1" w:rsidRPr="00F64509" w:rsidRDefault="008C1FF1" w:rsidP="00F64509">
      <w:pPr>
        <w:spacing w:line="480" w:lineRule="auto"/>
        <w:ind w:left="720" w:hanging="720"/>
        <w:jc w:val="both"/>
        <w:rPr>
          <w:rFonts w:asciiTheme="majorBidi" w:hAnsiTheme="majorBidi" w:cstheme="majorBidi"/>
          <w:sz w:val="24"/>
          <w:szCs w:val="24"/>
        </w:rPr>
      </w:pPr>
      <w:r w:rsidRPr="00F64509">
        <w:rPr>
          <w:rFonts w:asciiTheme="majorBidi" w:hAnsiTheme="majorBidi" w:cstheme="majorBidi"/>
          <w:sz w:val="24"/>
          <w:szCs w:val="24"/>
        </w:rPr>
        <w:t>Williams, M. 2005 “Why Wittgenstein isn</w:t>
      </w:r>
      <w:r w:rsidR="00B53A7E" w:rsidRPr="00F64509">
        <w:rPr>
          <w:rFonts w:asciiTheme="majorBidi" w:hAnsiTheme="majorBidi" w:cstheme="majorBidi"/>
          <w:sz w:val="24"/>
          <w:szCs w:val="24"/>
        </w:rPr>
        <w:t>’</w:t>
      </w:r>
      <w:r w:rsidRPr="00F64509">
        <w:rPr>
          <w:rFonts w:asciiTheme="majorBidi" w:hAnsiTheme="majorBidi" w:cstheme="majorBidi"/>
          <w:sz w:val="24"/>
          <w:szCs w:val="24"/>
        </w:rPr>
        <w:t xml:space="preserve">t a foundationalist”, in D. Moyal-Sharrock &amp; W. H. Brenner (eds.) </w:t>
      </w:r>
      <w:r w:rsidRPr="00F64509">
        <w:rPr>
          <w:rFonts w:asciiTheme="majorBidi" w:hAnsiTheme="majorBidi" w:cstheme="majorBidi"/>
          <w:i/>
          <w:sz w:val="24"/>
          <w:szCs w:val="24"/>
        </w:rPr>
        <w:t xml:space="preserve">Readings of </w:t>
      </w:r>
      <w:r w:rsidRPr="00F64509">
        <w:rPr>
          <w:rFonts w:asciiTheme="majorBidi" w:hAnsiTheme="majorBidi" w:cstheme="majorBidi"/>
          <w:sz w:val="24"/>
          <w:szCs w:val="24"/>
        </w:rPr>
        <w:t>On Certainty, London, Palgrave, pp. 47-58.</w:t>
      </w:r>
    </w:p>
    <w:p w14:paraId="192B66AB" w14:textId="2E19032D"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rPr>
      </w:pPr>
      <w:r w:rsidRPr="00F64509">
        <w:rPr>
          <w:rFonts w:asciiTheme="majorBidi" w:eastAsia="Times New Roman" w:hAnsiTheme="majorBidi" w:cstheme="majorBidi"/>
          <w:sz w:val="24"/>
          <w:szCs w:val="24"/>
        </w:rPr>
        <w:t xml:space="preserve">Wittgenstein, L. 1921 </w:t>
      </w:r>
      <w:r w:rsidRPr="00F64509">
        <w:rPr>
          <w:rFonts w:asciiTheme="majorBidi" w:eastAsia="Times New Roman" w:hAnsiTheme="majorBidi" w:cstheme="majorBidi"/>
          <w:i/>
          <w:sz w:val="24"/>
          <w:szCs w:val="24"/>
        </w:rPr>
        <w:t>Tractatus Logico-Philosophicus</w:t>
      </w:r>
      <w:r w:rsidRPr="00F64509">
        <w:rPr>
          <w:rFonts w:asciiTheme="majorBidi" w:eastAsia="Times New Roman" w:hAnsiTheme="majorBidi" w:cstheme="majorBidi"/>
          <w:sz w:val="24"/>
          <w:szCs w:val="24"/>
        </w:rPr>
        <w:t xml:space="preserve">, </w:t>
      </w:r>
      <w:r w:rsidR="008844F8" w:rsidRPr="00F64509">
        <w:rPr>
          <w:rFonts w:asciiTheme="majorBidi" w:eastAsia="Times New Roman" w:hAnsiTheme="majorBidi" w:cstheme="majorBidi"/>
          <w:sz w:val="24"/>
          <w:szCs w:val="24"/>
        </w:rPr>
        <w:t xml:space="preserve">Oxford, </w:t>
      </w:r>
      <w:r w:rsidRPr="00F64509">
        <w:rPr>
          <w:rFonts w:asciiTheme="majorBidi" w:eastAsia="Times New Roman" w:hAnsiTheme="majorBidi" w:cstheme="majorBidi"/>
          <w:sz w:val="24"/>
          <w:szCs w:val="24"/>
        </w:rPr>
        <w:t>Blackwell.</w:t>
      </w:r>
    </w:p>
    <w:p w14:paraId="310E7947" w14:textId="453CAF69" w:rsidR="00606D67" w:rsidRPr="00F64509" w:rsidRDefault="00606D67" w:rsidP="00F64509">
      <w:pPr>
        <w:shd w:val="clear" w:color="auto" w:fill="FFFFFF"/>
        <w:spacing w:line="480" w:lineRule="auto"/>
        <w:ind w:left="720" w:hanging="720"/>
        <w:jc w:val="both"/>
        <w:rPr>
          <w:rFonts w:asciiTheme="majorBidi" w:eastAsia="Times New Roman" w:hAnsiTheme="majorBidi" w:cstheme="majorBidi"/>
          <w:sz w:val="24"/>
          <w:szCs w:val="24"/>
        </w:rPr>
      </w:pPr>
      <w:r w:rsidRPr="00F64509">
        <w:rPr>
          <w:rFonts w:asciiTheme="majorBidi" w:eastAsia="Times New Roman" w:hAnsiTheme="majorBidi" w:cstheme="majorBidi"/>
          <w:sz w:val="24"/>
          <w:szCs w:val="24"/>
        </w:rPr>
        <w:t xml:space="preserve">Wittgenstein, L. 1969 </w:t>
      </w:r>
      <w:r w:rsidRPr="00F64509">
        <w:rPr>
          <w:rFonts w:asciiTheme="majorBidi" w:eastAsia="Times New Roman" w:hAnsiTheme="majorBidi" w:cstheme="majorBidi"/>
          <w:i/>
          <w:sz w:val="24"/>
          <w:szCs w:val="24"/>
        </w:rPr>
        <w:t>On Certainty</w:t>
      </w:r>
      <w:r w:rsidRPr="00F64509">
        <w:rPr>
          <w:rFonts w:asciiTheme="majorBidi" w:eastAsia="Times New Roman" w:hAnsiTheme="majorBidi" w:cstheme="majorBidi"/>
          <w:sz w:val="24"/>
          <w:szCs w:val="24"/>
        </w:rPr>
        <w:t xml:space="preserve">, </w:t>
      </w:r>
      <w:r w:rsidR="008844F8" w:rsidRPr="00F64509">
        <w:rPr>
          <w:rFonts w:asciiTheme="majorBidi" w:eastAsia="Times New Roman" w:hAnsiTheme="majorBidi" w:cstheme="majorBidi"/>
          <w:sz w:val="24"/>
          <w:szCs w:val="24"/>
        </w:rPr>
        <w:t xml:space="preserve">Oxford, </w:t>
      </w:r>
      <w:r w:rsidRPr="00F64509">
        <w:rPr>
          <w:rFonts w:asciiTheme="majorBidi" w:eastAsia="Times New Roman" w:hAnsiTheme="majorBidi" w:cstheme="majorBidi"/>
          <w:sz w:val="24"/>
          <w:szCs w:val="24"/>
        </w:rPr>
        <w:t>Blackwell.</w:t>
      </w:r>
    </w:p>
    <w:p w14:paraId="7CBAFEAC" w14:textId="50C08599" w:rsidR="008844F8" w:rsidRPr="00F64509" w:rsidRDefault="008844F8" w:rsidP="00F64509">
      <w:pPr>
        <w:pStyle w:val="Body"/>
        <w:spacing w:after="160" w:line="480" w:lineRule="auto"/>
        <w:ind w:left="720" w:hanging="720"/>
        <w:jc w:val="both"/>
        <w:rPr>
          <w:rFonts w:asciiTheme="majorBidi" w:eastAsia="Times New Roman" w:hAnsiTheme="majorBidi" w:cstheme="majorBidi"/>
          <w:color w:val="auto"/>
        </w:rPr>
      </w:pPr>
      <w:r w:rsidRPr="00F64509">
        <w:rPr>
          <w:rFonts w:asciiTheme="majorBidi" w:hAnsiTheme="majorBidi" w:cstheme="majorBidi"/>
          <w:color w:val="auto"/>
        </w:rPr>
        <w:t>Wright, C. 1985 “Facts and Certainty.”</w:t>
      </w:r>
      <w:r w:rsidRPr="00F64509">
        <w:rPr>
          <w:rFonts w:asciiTheme="majorBidi" w:hAnsiTheme="majorBidi" w:cstheme="majorBidi"/>
          <w:i/>
          <w:iCs/>
          <w:color w:val="auto"/>
        </w:rPr>
        <w:t xml:space="preserve"> Proceedings of the British Academy </w:t>
      </w:r>
      <w:r w:rsidRPr="00F64509">
        <w:rPr>
          <w:rFonts w:asciiTheme="majorBidi" w:hAnsiTheme="majorBidi" w:cstheme="majorBidi"/>
          <w:color w:val="auto"/>
        </w:rPr>
        <w:t>71, pp. 429–72.</w:t>
      </w:r>
    </w:p>
    <w:p w14:paraId="134F5364" w14:textId="0DC2D918" w:rsidR="00606D67" w:rsidRPr="00F64509" w:rsidRDefault="00606D67" w:rsidP="00F64509">
      <w:pPr>
        <w:spacing w:line="480" w:lineRule="auto"/>
        <w:ind w:left="720" w:hanging="720"/>
        <w:jc w:val="both"/>
        <w:rPr>
          <w:rFonts w:asciiTheme="majorBidi" w:hAnsiTheme="majorBidi" w:cstheme="majorBidi"/>
          <w:sz w:val="24"/>
          <w:szCs w:val="24"/>
          <w:shd w:val="clear" w:color="auto" w:fill="FFFFFF"/>
        </w:rPr>
      </w:pPr>
      <w:r w:rsidRPr="00F64509">
        <w:rPr>
          <w:rFonts w:asciiTheme="majorBidi" w:hAnsiTheme="majorBidi" w:cstheme="majorBidi"/>
          <w:sz w:val="24"/>
          <w:szCs w:val="24"/>
        </w:rPr>
        <w:t xml:space="preserve">Wright, C. 2004 “Warrant for nothing (and foundations for free?)”, </w:t>
      </w:r>
      <w:hyperlink r:id="rId10" w:history="1">
        <w:r w:rsidRPr="00F64509">
          <w:rPr>
            <w:rStyle w:val="Hyperlink"/>
            <w:rFonts w:asciiTheme="majorBidi" w:hAnsiTheme="majorBidi" w:cstheme="majorBidi"/>
            <w:i/>
            <w:iCs/>
            <w:color w:val="auto"/>
            <w:sz w:val="24"/>
            <w:szCs w:val="24"/>
            <w:u w:val="none"/>
          </w:rPr>
          <w:t>Aristotelian Society Supplementary Volume</w:t>
        </w:r>
      </w:hyperlink>
      <w:r w:rsidRPr="00F64509">
        <w:rPr>
          <w:rFonts w:asciiTheme="majorBidi" w:hAnsiTheme="majorBidi" w:cstheme="majorBidi"/>
          <w:sz w:val="24"/>
          <w:szCs w:val="24"/>
          <w:shd w:val="clear" w:color="auto" w:fill="FFFFFF"/>
        </w:rPr>
        <w:t xml:space="preserve"> 78/1, pp. 167–212.</w:t>
      </w:r>
    </w:p>
    <w:p w14:paraId="070F36C7" w14:textId="1FDD48C9" w:rsidR="008844F8" w:rsidRPr="00F64509" w:rsidRDefault="008844F8" w:rsidP="00F64509">
      <w:pPr>
        <w:pStyle w:val="Body"/>
        <w:spacing w:after="160" w:line="480" w:lineRule="auto"/>
        <w:ind w:left="720" w:hanging="720"/>
        <w:jc w:val="both"/>
        <w:rPr>
          <w:rFonts w:asciiTheme="majorBidi" w:hAnsiTheme="majorBidi" w:cstheme="majorBidi"/>
          <w:color w:val="auto"/>
        </w:rPr>
      </w:pPr>
      <w:r w:rsidRPr="00F64509">
        <w:rPr>
          <w:rFonts w:asciiTheme="majorBidi" w:hAnsiTheme="majorBidi" w:cstheme="majorBidi"/>
          <w:color w:val="auto"/>
        </w:rPr>
        <w:t>Wright, C. 2014 “On Epistemic Entitlement (II): Welfare State Epistemology.” In Dodd D. and Zardini E. (eds),</w:t>
      </w:r>
      <w:r w:rsidRPr="00F64509">
        <w:rPr>
          <w:rFonts w:asciiTheme="majorBidi" w:hAnsiTheme="majorBidi" w:cstheme="majorBidi"/>
          <w:i/>
          <w:iCs/>
          <w:color w:val="auto"/>
        </w:rPr>
        <w:t xml:space="preserve"> Scepticism and Perceptual Justification, </w:t>
      </w:r>
      <w:r w:rsidRPr="00F64509">
        <w:rPr>
          <w:rFonts w:asciiTheme="majorBidi" w:hAnsiTheme="majorBidi" w:cstheme="majorBidi"/>
          <w:color w:val="auto"/>
        </w:rPr>
        <w:t>pp. 213–247. Oxford: Oxford University Press.</w:t>
      </w:r>
    </w:p>
    <w:p w14:paraId="60791ED1" w14:textId="77777777" w:rsidR="00606D67" w:rsidRPr="00F64509" w:rsidRDefault="00606D67" w:rsidP="00F64509">
      <w:pPr>
        <w:spacing w:line="480" w:lineRule="auto"/>
        <w:rPr>
          <w:rFonts w:asciiTheme="majorBidi" w:hAnsiTheme="majorBidi" w:cstheme="majorBidi"/>
          <w:sz w:val="24"/>
          <w:szCs w:val="24"/>
          <w:lang w:val="en-GB"/>
        </w:rPr>
      </w:pPr>
    </w:p>
    <w:sectPr w:rsidR="00606D67" w:rsidRPr="00F64509" w:rsidSect="00F64509">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1918E" w14:textId="77777777" w:rsidR="00E05850" w:rsidRDefault="00E05850" w:rsidP="004C7C7D">
      <w:pPr>
        <w:spacing w:after="0" w:line="240" w:lineRule="auto"/>
      </w:pPr>
      <w:r>
        <w:separator/>
      </w:r>
    </w:p>
  </w:endnote>
  <w:endnote w:type="continuationSeparator" w:id="0">
    <w:p w14:paraId="58384D1A" w14:textId="77777777" w:rsidR="00E05850" w:rsidRDefault="00E05850" w:rsidP="004C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badi MT Condensed Light">
    <w:altName w:val="Arial Narrow"/>
    <w:charset w:val="4D"/>
    <w:family w:val="swiss"/>
    <w:pitch w:val="variable"/>
    <w:sig w:usb0="00000003" w:usb1="00000000" w:usb2="00000000" w:usb3="00000000" w:csb0="00000001" w:csb1="00000000"/>
  </w:font>
  <w:font w:name="Abadi MT Condensed Extra Bold">
    <w:altName w:val="Impact"/>
    <w:charset w:val="4D"/>
    <w:family w:val="swiss"/>
    <w:pitch w:val="variable"/>
    <w:sig w:usb0="00000003" w:usb1="00000000" w:usb2="00000000" w:usb3="00000000" w:csb0="00000001" w:csb1="00000000"/>
  </w:font>
  <w:font w:name="Palatino">
    <w:charset w:val="4D"/>
    <w:family w:val="auto"/>
    <w:pitch w:val="variable"/>
    <w:sig w:usb0="A00002FF" w:usb1="7800205A" w:usb2="14600000" w:usb3="00000000" w:csb0="00000193"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neva">
    <w:panose1 w:val="00000000000000000000"/>
    <w:charset w:val="00"/>
    <w:family w:val="swiss"/>
    <w:notTrueType/>
    <w:pitch w:val="variable"/>
    <w:sig w:usb0="00000003" w:usb1="00000000" w:usb2="00000000" w:usb3="00000000" w:csb0="00000001" w:csb1="00000000"/>
  </w:font>
  <w:font w:name="ITC Stone Serif Std Medium">
    <w:altName w:val="ITC Stone Serif Std Medium"/>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2023507217"/>
      <w:docPartObj>
        <w:docPartGallery w:val="Page Numbers (Bottom of Page)"/>
        <w:docPartUnique/>
      </w:docPartObj>
    </w:sdtPr>
    <w:sdtEndPr>
      <w:rPr>
        <w:noProof/>
      </w:rPr>
    </w:sdtEndPr>
    <w:sdtContent>
      <w:p w14:paraId="64A0493F" w14:textId="14B69A68" w:rsidR="00F64509" w:rsidRPr="00F64509" w:rsidRDefault="00F64509">
        <w:pPr>
          <w:pStyle w:val="Footer"/>
          <w:jc w:val="center"/>
          <w:rPr>
            <w:rFonts w:asciiTheme="majorBidi" w:hAnsiTheme="majorBidi" w:cstheme="majorBidi"/>
          </w:rPr>
        </w:pPr>
        <w:r w:rsidRPr="00F64509">
          <w:rPr>
            <w:rFonts w:asciiTheme="majorBidi" w:hAnsiTheme="majorBidi" w:cstheme="majorBidi"/>
          </w:rPr>
          <w:fldChar w:fldCharType="begin"/>
        </w:r>
        <w:r w:rsidRPr="00F64509">
          <w:rPr>
            <w:rFonts w:asciiTheme="majorBidi" w:hAnsiTheme="majorBidi" w:cstheme="majorBidi"/>
          </w:rPr>
          <w:instrText xml:space="preserve"> PAGE   \* MERGEFORMAT </w:instrText>
        </w:r>
        <w:r w:rsidRPr="00F64509">
          <w:rPr>
            <w:rFonts w:asciiTheme="majorBidi" w:hAnsiTheme="majorBidi" w:cstheme="majorBidi"/>
          </w:rPr>
          <w:fldChar w:fldCharType="separate"/>
        </w:r>
        <w:r w:rsidRPr="00F64509">
          <w:rPr>
            <w:rFonts w:asciiTheme="majorBidi" w:hAnsiTheme="majorBidi" w:cstheme="majorBidi"/>
            <w:noProof/>
          </w:rPr>
          <w:t>2</w:t>
        </w:r>
        <w:r w:rsidRPr="00F64509">
          <w:rPr>
            <w:rFonts w:asciiTheme="majorBidi" w:hAnsiTheme="majorBidi" w:cstheme="majorBidi"/>
            <w:noProof/>
          </w:rPr>
          <w:fldChar w:fldCharType="end"/>
        </w:r>
      </w:p>
    </w:sdtContent>
  </w:sdt>
  <w:p w14:paraId="5786F193" w14:textId="77777777" w:rsidR="00F64509" w:rsidRPr="00F64509" w:rsidRDefault="00F64509" w:rsidP="00F64509">
    <w:pPr>
      <w:pStyle w:val="Footer"/>
      <w:jc w:val="cen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F1914" w14:textId="77777777" w:rsidR="00E05850" w:rsidRDefault="00E05850" w:rsidP="004C7C7D">
      <w:pPr>
        <w:spacing w:after="0" w:line="240" w:lineRule="auto"/>
      </w:pPr>
      <w:r>
        <w:separator/>
      </w:r>
    </w:p>
  </w:footnote>
  <w:footnote w:type="continuationSeparator" w:id="0">
    <w:p w14:paraId="45465790" w14:textId="77777777" w:rsidR="00E05850" w:rsidRDefault="00E05850" w:rsidP="004C7C7D">
      <w:pPr>
        <w:spacing w:after="0" w:line="240" w:lineRule="auto"/>
      </w:pPr>
      <w:r>
        <w:continuationSeparator/>
      </w:r>
    </w:p>
  </w:footnote>
  <w:footnote w:id="1">
    <w:p w14:paraId="0F4BF69E" w14:textId="0F8B1D80" w:rsidR="00932719" w:rsidRPr="00F64509" w:rsidRDefault="00932719"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The label was first used in Coliva (2015) and gained traction since Coliva and Moyal-Sharrock (2016). To this date, three major conferences, as well as several collections, journal special issues and numerous articles have been devoted to hinge epistemology</w:t>
      </w:r>
      <w:r w:rsidR="00490A07" w:rsidRPr="00F64509">
        <w:rPr>
          <w:rFonts w:asciiTheme="majorBidi" w:hAnsiTheme="majorBidi" w:cstheme="majorBidi"/>
          <w:lang w:val="en-US"/>
        </w:rPr>
        <w:t xml:space="preserve"> under this label</w:t>
      </w:r>
      <w:r w:rsidRPr="00F64509">
        <w:rPr>
          <w:rFonts w:asciiTheme="majorBidi" w:hAnsiTheme="majorBidi" w:cstheme="majorBidi"/>
          <w:lang w:val="en-US"/>
        </w:rPr>
        <w:t>.</w:t>
      </w:r>
    </w:p>
  </w:footnote>
  <w:footnote w:id="2">
    <w:p w14:paraId="2177B119" w14:textId="50CFB540" w:rsidR="00635B85" w:rsidRPr="00F64509" w:rsidRDefault="00635B85"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For a recent survey of this literature see </w:t>
      </w:r>
      <w:r w:rsidR="004D5D55">
        <w:rPr>
          <w:rFonts w:asciiTheme="majorBidi" w:hAnsiTheme="majorBidi" w:cstheme="majorBidi"/>
          <w:lang w:val="en-US"/>
        </w:rPr>
        <w:t xml:space="preserve">Moyal-Sharrock &amp; Pritchard (2024). See also </w:t>
      </w:r>
      <w:r w:rsidRPr="00F64509">
        <w:rPr>
          <w:rFonts w:asciiTheme="majorBidi" w:hAnsiTheme="majorBidi" w:cstheme="majorBidi"/>
          <w:lang w:val="en-US"/>
        </w:rPr>
        <w:t>Pritchard (2017b).</w:t>
      </w:r>
    </w:p>
  </w:footnote>
  <w:footnote w:id="3">
    <w:p w14:paraId="6265325B" w14:textId="550D04B8" w:rsidR="00DA1556" w:rsidRPr="00F64509" w:rsidRDefault="00DA1556"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Moore </w:t>
      </w:r>
      <w:r w:rsidRPr="00F64509">
        <w:rPr>
          <w:rFonts w:asciiTheme="majorBidi" w:hAnsiTheme="majorBidi" w:cstheme="majorBidi"/>
          <w:lang w:val="en-GB"/>
        </w:rPr>
        <w:t>(1939, 146-7).</w:t>
      </w:r>
    </w:p>
  </w:footnote>
  <w:footnote w:id="4">
    <w:p w14:paraId="3A81F6FB" w14:textId="1D897573" w:rsidR="007E2B79" w:rsidRPr="00F64509" w:rsidRDefault="007E2B79" w:rsidP="00FA01AD">
      <w:pPr>
        <w:pStyle w:val="FootnoteText"/>
        <w:spacing w:beforeAutospacing="0" w:after="120" w:afterAutospacing="0"/>
        <w:contextualSpacing/>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w:t>
      </w:r>
      <w:r w:rsidR="00005D2D" w:rsidRPr="00F64509">
        <w:rPr>
          <w:rFonts w:asciiTheme="majorBidi" w:hAnsiTheme="majorBidi" w:cstheme="majorBidi"/>
          <w:lang w:val="en-US"/>
        </w:rPr>
        <w:t xml:space="preserve">“A </w:t>
      </w:r>
      <w:r w:rsidRPr="00F64509">
        <w:rPr>
          <w:rFonts w:asciiTheme="majorBidi" w:hAnsiTheme="majorBidi" w:cstheme="majorBidi"/>
          <w:lang w:val="en-US"/>
        </w:rPr>
        <w:t xml:space="preserve">rod has a </w:t>
      </w:r>
      <w:r w:rsidR="00005D2D" w:rsidRPr="00F64509">
        <w:rPr>
          <w:rFonts w:asciiTheme="majorBidi" w:hAnsiTheme="majorBidi" w:cstheme="majorBidi"/>
          <w:lang w:val="en-US"/>
        </w:rPr>
        <w:t xml:space="preserve">length” </w:t>
      </w:r>
      <w:r w:rsidRPr="00F64509">
        <w:rPr>
          <w:rFonts w:asciiTheme="majorBidi" w:hAnsiTheme="majorBidi" w:cstheme="majorBidi"/>
          <w:lang w:val="en-US"/>
        </w:rPr>
        <w:t>is, on Wittgenstein</w:t>
      </w:r>
      <w:r w:rsidR="00005D2D" w:rsidRPr="00F64509">
        <w:rPr>
          <w:rFonts w:asciiTheme="majorBidi" w:hAnsiTheme="majorBidi" w:cstheme="majorBidi"/>
          <w:lang w:val="en-US"/>
        </w:rPr>
        <w:t>’</w:t>
      </w:r>
      <w:r w:rsidRPr="00F64509">
        <w:rPr>
          <w:rFonts w:asciiTheme="majorBidi" w:hAnsiTheme="majorBidi" w:cstheme="majorBidi"/>
          <w:lang w:val="en-US"/>
        </w:rPr>
        <w:t xml:space="preserve">s view, as nonsensical as </w:t>
      </w:r>
      <w:r w:rsidR="00005D2D" w:rsidRPr="00F64509">
        <w:rPr>
          <w:rFonts w:asciiTheme="majorBidi" w:hAnsiTheme="majorBidi" w:cstheme="majorBidi"/>
          <w:lang w:val="en-US"/>
        </w:rPr>
        <w:t xml:space="preserve">“A </w:t>
      </w:r>
      <w:r w:rsidRPr="00F64509">
        <w:rPr>
          <w:rFonts w:asciiTheme="majorBidi" w:hAnsiTheme="majorBidi" w:cstheme="majorBidi"/>
          <w:lang w:val="en-US"/>
        </w:rPr>
        <w:t xml:space="preserve">rod has no </w:t>
      </w:r>
      <w:r w:rsidR="00005D2D" w:rsidRPr="00F64509">
        <w:rPr>
          <w:rFonts w:asciiTheme="majorBidi" w:hAnsiTheme="majorBidi" w:cstheme="majorBidi"/>
          <w:lang w:val="en-US"/>
        </w:rPr>
        <w:t>length”</w:t>
      </w:r>
      <w:r w:rsidRPr="00F64509">
        <w:rPr>
          <w:rFonts w:asciiTheme="majorBidi" w:hAnsiTheme="majorBidi" w:cstheme="majorBidi"/>
          <w:lang w:val="en-US"/>
        </w:rPr>
        <w:t xml:space="preserve">; the latter is nonsense in that it contravenes a rule of grammar, the other in that it </w:t>
      </w:r>
      <w:r w:rsidRPr="00F64509">
        <w:rPr>
          <w:rFonts w:asciiTheme="majorBidi" w:hAnsiTheme="majorBidi" w:cstheme="majorBidi"/>
          <w:i/>
          <w:lang w:val="en-US"/>
        </w:rPr>
        <w:t xml:space="preserve">expresses </w:t>
      </w:r>
      <w:r w:rsidRPr="00F64509">
        <w:rPr>
          <w:rFonts w:asciiTheme="majorBidi" w:hAnsiTheme="majorBidi" w:cstheme="majorBidi"/>
          <w:lang w:val="en-US"/>
        </w:rPr>
        <w:t>a rule of grammar (PG 129).</w:t>
      </w:r>
    </w:p>
  </w:footnote>
  <w:footnote w:id="5">
    <w:p w14:paraId="4D4D8DEE" w14:textId="087D79CF" w:rsidR="003F068D" w:rsidRPr="003F068D" w:rsidRDefault="003F068D">
      <w:pPr>
        <w:pStyle w:val="FootnoteText"/>
        <w:rPr>
          <w:rFonts w:ascii="Times New Roman" w:hAnsi="Times New Roman"/>
        </w:rPr>
      </w:pPr>
      <w:r w:rsidRPr="003F068D">
        <w:rPr>
          <w:rStyle w:val="FootnoteReference"/>
          <w:rFonts w:ascii="Times New Roman" w:hAnsi="Times New Roman"/>
        </w:rPr>
        <w:footnoteRef/>
      </w:r>
      <w:r w:rsidRPr="003F068D">
        <w:rPr>
          <w:rFonts w:ascii="Times New Roman" w:hAnsi="Times New Roman"/>
        </w:rPr>
        <w:t xml:space="preserve"> For</w:t>
      </w:r>
      <w:r>
        <w:rPr>
          <w:rFonts w:ascii="Times New Roman" w:hAnsi="Times New Roman"/>
        </w:rPr>
        <w:t xml:space="preserve"> more focused discussions of relativism by Moyal-Sharrock, see Moyal-Sharrock (2017; 2021; Forthcoming).</w:t>
      </w:r>
    </w:p>
  </w:footnote>
  <w:footnote w:id="6">
    <w:p w14:paraId="1C8801D2" w14:textId="51E97726"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For the main places where Pritchard develops the hinge proposal articulated here, see Pritchard (2012; 2015a; 2018b; 2019a</w:t>
      </w:r>
      <w:r w:rsidR="00AF60B2">
        <w:rPr>
          <w:rFonts w:asciiTheme="majorBidi" w:hAnsiTheme="majorBidi" w:cstheme="majorBidi"/>
          <w:lang w:val="en-US"/>
        </w:rPr>
        <w:t>; forthcoming</w:t>
      </w:r>
      <w:r w:rsidR="00831095">
        <w:rPr>
          <w:rFonts w:asciiTheme="majorBidi" w:hAnsiTheme="majorBidi" w:cstheme="majorBidi"/>
          <w:lang w:val="en-US"/>
        </w:rPr>
        <w:t>a</w:t>
      </w:r>
      <w:r w:rsidRPr="00F64509">
        <w:rPr>
          <w:rFonts w:asciiTheme="majorBidi" w:hAnsiTheme="majorBidi" w:cstheme="majorBidi"/>
          <w:lang w:val="en-US"/>
        </w:rPr>
        <w:t>). Note that in earlier work Pritchard (2005a; 2005b) developed a distinct, epistemically externalist reading of hinge commitments.</w:t>
      </w:r>
    </w:p>
  </w:footnote>
  <w:footnote w:id="7">
    <w:p w14:paraId="28BA8A57" w14:textId="4B350868"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Note that it is due to his focus on the distinctive nature of the commitment involved that Pritchard uses the terminology of hinge </w:t>
      </w:r>
      <w:r w:rsidRPr="00F64509">
        <w:rPr>
          <w:rFonts w:asciiTheme="majorBidi" w:hAnsiTheme="majorBidi" w:cstheme="majorBidi"/>
          <w:i/>
          <w:iCs/>
          <w:lang w:val="en-US"/>
        </w:rPr>
        <w:t xml:space="preserve">commitments </w:t>
      </w:r>
      <w:r w:rsidRPr="00F64509">
        <w:rPr>
          <w:rFonts w:asciiTheme="majorBidi" w:hAnsiTheme="majorBidi" w:cstheme="majorBidi"/>
          <w:lang w:val="en-US"/>
        </w:rPr>
        <w:t xml:space="preserve">rather than (as it common in the literature) hinge </w:t>
      </w:r>
      <w:r w:rsidRPr="00F64509">
        <w:rPr>
          <w:rFonts w:asciiTheme="majorBidi" w:hAnsiTheme="majorBidi" w:cstheme="majorBidi"/>
          <w:i/>
          <w:iCs/>
          <w:lang w:val="en-US"/>
        </w:rPr>
        <w:t>propositions</w:t>
      </w:r>
      <w:r w:rsidRPr="00F64509">
        <w:rPr>
          <w:rFonts w:asciiTheme="majorBidi" w:hAnsiTheme="majorBidi" w:cstheme="majorBidi"/>
          <w:lang w:val="en-US"/>
        </w:rPr>
        <w:t>, as the latter puts the focus on the particular propositional content that functions as a hinge rather than the distinctive kind of certainty on display.</w:t>
      </w:r>
    </w:p>
  </w:footnote>
  <w:footnote w:id="8">
    <w:p w14:paraId="55857E12" w14:textId="083AF2AB" w:rsidR="00E72A1F" w:rsidRPr="00E72A1F" w:rsidRDefault="00E72A1F">
      <w:pPr>
        <w:pStyle w:val="FootnoteText"/>
        <w:rPr>
          <w:rFonts w:ascii="Times New Roman" w:hAnsi="Times New Roman"/>
          <w:lang w:val="en-GB"/>
        </w:rPr>
      </w:pPr>
      <w:r w:rsidRPr="00E72A1F">
        <w:rPr>
          <w:rStyle w:val="FootnoteReference"/>
          <w:rFonts w:ascii="Times New Roman" w:hAnsi="Times New Roman"/>
        </w:rPr>
        <w:footnoteRef/>
      </w:r>
      <w:r w:rsidRPr="002A7AF6">
        <w:rPr>
          <w:rFonts w:ascii="Times New Roman" w:hAnsi="Times New Roman"/>
          <w:lang w:val="en-US"/>
        </w:rPr>
        <w:t xml:space="preserve"> </w:t>
      </w:r>
      <w:r w:rsidRPr="00E72A1F">
        <w:rPr>
          <w:rFonts w:ascii="Times New Roman" w:hAnsi="Times New Roman"/>
          <w:lang w:val="en-GB"/>
        </w:rPr>
        <w:t xml:space="preserve"> For further discussion of the folk conception of belief, K-apt belief, and hinge commitments, see Pritchard (2015a</w:t>
      </w:r>
      <w:r>
        <w:rPr>
          <w:rFonts w:ascii="Times New Roman" w:hAnsi="Times New Roman"/>
          <w:lang w:val="en-GB"/>
        </w:rPr>
        <w:t>, part 2</w:t>
      </w:r>
      <w:r w:rsidRPr="00E72A1F">
        <w:rPr>
          <w:rFonts w:ascii="Times New Roman" w:hAnsi="Times New Roman"/>
          <w:lang w:val="en-GB"/>
        </w:rPr>
        <w:t xml:space="preserve">; 2018a; 2024a). </w:t>
      </w:r>
    </w:p>
  </w:footnote>
  <w:footnote w:id="9">
    <w:p w14:paraId="1759F629" w14:textId="57EFBD6E"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lang w:val="en-US"/>
        </w:rPr>
        <w:footnoteRef/>
      </w:r>
      <w:r w:rsidRPr="00F64509">
        <w:rPr>
          <w:rFonts w:asciiTheme="majorBidi" w:hAnsiTheme="majorBidi" w:cstheme="majorBidi"/>
          <w:lang w:val="en-US"/>
        </w:rPr>
        <w:t xml:space="preserve"> </w:t>
      </w:r>
      <w:r w:rsidRPr="00F64509">
        <w:rPr>
          <w:rFonts w:asciiTheme="majorBidi" w:eastAsia="Times New Roman" w:hAnsiTheme="majorBidi" w:cstheme="majorBidi"/>
          <w:color w:val="000000"/>
          <w:lang w:val="en-US" w:eastAsia="it-IT"/>
        </w:rPr>
        <w:t xml:space="preserve">As just noted, our hinge commitments on this view are beliefs in the folk sense of the term, but given Pritchard’s claim that our folk notion of belief is an umbrella notion, this is not in tension with the thesis that the hinge propositional attitude is </w:t>
      </w:r>
      <w:r w:rsidRPr="00F64509">
        <w:rPr>
          <w:rFonts w:asciiTheme="majorBidi" w:eastAsia="Times New Roman" w:hAnsiTheme="majorBidi" w:cstheme="majorBidi"/>
          <w:i/>
          <w:iCs/>
          <w:color w:val="000000"/>
          <w:lang w:val="en-US" w:eastAsia="it-IT"/>
        </w:rPr>
        <w:t>sui generis</w:t>
      </w:r>
      <w:r w:rsidRPr="00F64509">
        <w:rPr>
          <w:rFonts w:asciiTheme="majorBidi" w:eastAsia="Times New Roman" w:hAnsiTheme="majorBidi" w:cstheme="majorBidi"/>
          <w:color w:val="000000"/>
          <w:lang w:val="en-US" w:eastAsia="it-IT"/>
        </w:rPr>
        <w:t>.</w:t>
      </w:r>
    </w:p>
  </w:footnote>
  <w:footnote w:id="10">
    <w:p w14:paraId="71455277" w14:textId="231C1A67"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The point of stipulating both that one isn’t radically or fundamentally mistaken is to emphasize that we are interested both in the scope and the depth of the error involved.</w:t>
      </w:r>
    </w:p>
  </w:footnote>
  <w:footnote w:id="11">
    <w:p w14:paraId="0B799BB1" w14:textId="299EC33E"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Pritchard relates this point to an exegetical claim about </w:t>
      </w:r>
      <w:r w:rsidRPr="00F64509">
        <w:rPr>
          <w:rFonts w:asciiTheme="majorBidi" w:hAnsiTheme="majorBidi" w:cstheme="majorBidi"/>
          <w:i/>
          <w:iCs/>
          <w:lang w:val="en-US"/>
        </w:rPr>
        <w:t>On Certainty</w:t>
      </w:r>
      <w:r w:rsidRPr="00F64509">
        <w:rPr>
          <w:rFonts w:asciiTheme="majorBidi" w:hAnsiTheme="majorBidi" w:cstheme="majorBidi"/>
          <w:lang w:val="en-US"/>
        </w:rPr>
        <w:t>, to the effect that Wittgenstein in these notebooks is drawing a distinction between different kinds of certainty, thereby highlighting the distinctive nature of the certainty involved in our hinge commitments. Accordingly, not every certainty that Wittgenstein discusses in this work is to be read as a hinge commitment. See Pritchard (2022b</w:t>
      </w:r>
      <w:r w:rsidR="00E72A1F">
        <w:rPr>
          <w:rFonts w:asciiTheme="majorBidi" w:hAnsiTheme="majorBidi" w:cstheme="majorBidi"/>
          <w:lang w:val="en-US"/>
        </w:rPr>
        <w:t xml:space="preserve">; </w:t>
      </w:r>
      <w:r w:rsidR="00E72A1F" w:rsidRPr="00AF60B2">
        <w:rPr>
          <w:rFonts w:asciiTheme="majorBidi" w:hAnsiTheme="majorBidi" w:cstheme="majorBidi"/>
          <w:lang w:val="en-US"/>
        </w:rPr>
        <w:t>forthcoming</w:t>
      </w:r>
      <w:r w:rsidR="00831095">
        <w:rPr>
          <w:rFonts w:asciiTheme="majorBidi" w:hAnsiTheme="majorBidi" w:cstheme="majorBidi"/>
          <w:lang w:val="en-US"/>
        </w:rPr>
        <w:t>a</w:t>
      </w:r>
      <w:r w:rsidRPr="00F64509">
        <w:rPr>
          <w:rFonts w:asciiTheme="majorBidi" w:hAnsiTheme="majorBidi" w:cstheme="majorBidi"/>
          <w:lang w:val="en-US"/>
        </w:rPr>
        <w:t>).</w:t>
      </w:r>
    </w:p>
  </w:footnote>
  <w:footnote w:id="12">
    <w:p w14:paraId="53567D89" w14:textId="2326876E"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See Pritchard (2010; 2018a; 2021c) for further discussion of this point.</w:t>
      </w:r>
    </w:p>
  </w:footnote>
  <w:footnote w:id="13">
    <w:p w14:paraId="381ADF5D" w14:textId="6C9CAC15"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Pritchard (e.g., 2015a; 2022b) follows Williams (2004) as arguing that the first notebook that makes up </w:t>
      </w:r>
      <w:r w:rsidRPr="00F64509">
        <w:rPr>
          <w:rFonts w:asciiTheme="majorBidi" w:hAnsiTheme="majorBidi" w:cstheme="majorBidi"/>
          <w:i/>
          <w:iCs/>
          <w:lang w:val="en-US"/>
        </w:rPr>
        <w:t>On Certainty</w:t>
      </w:r>
      <w:r w:rsidRPr="00F64509">
        <w:rPr>
          <w:rFonts w:asciiTheme="majorBidi" w:hAnsiTheme="majorBidi" w:cstheme="majorBidi"/>
          <w:lang w:val="en-US"/>
        </w:rPr>
        <w:t xml:space="preserve"> is largely devoted to showing that philosophical statements like ‘there are physical objects’ are simply nonsense. For more on the idea that our hinge commitments are concrete quotidian claims, see Pritchard (2022b</w:t>
      </w:r>
      <w:r w:rsidR="00C85B3B">
        <w:rPr>
          <w:rFonts w:asciiTheme="majorBidi" w:hAnsiTheme="majorBidi" w:cstheme="majorBidi"/>
          <w:lang w:val="en-US"/>
        </w:rPr>
        <w:t>; forthcoming</w:t>
      </w:r>
      <w:r w:rsidR="00831095">
        <w:rPr>
          <w:rFonts w:asciiTheme="majorBidi" w:hAnsiTheme="majorBidi" w:cstheme="majorBidi"/>
          <w:lang w:val="en-US"/>
        </w:rPr>
        <w:t>a</w:t>
      </w:r>
      <w:r w:rsidRPr="00F64509">
        <w:rPr>
          <w:rFonts w:asciiTheme="majorBidi" w:hAnsiTheme="majorBidi" w:cstheme="majorBidi"/>
          <w:lang w:val="en-US"/>
        </w:rPr>
        <w:t>). Note that Pritchard (2011; 2015b; 2017a; 2018c; 2022a; 2022c</w:t>
      </w:r>
      <w:r w:rsidR="00AF60B2">
        <w:rPr>
          <w:rFonts w:asciiTheme="majorBidi" w:hAnsiTheme="majorBidi" w:cstheme="majorBidi"/>
          <w:lang w:val="en-US"/>
        </w:rPr>
        <w:t>; 2023b; 2024b</w:t>
      </w:r>
      <w:r w:rsidR="00831095">
        <w:rPr>
          <w:rFonts w:asciiTheme="majorBidi" w:hAnsiTheme="majorBidi" w:cstheme="majorBidi"/>
          <w:lang w:val="en-US"/>
        </w:rPr>
        <w:t>; 2026</w:t>
      </w:r>
      <w:r w:rsidRPr="00F64509">
        <w:rPr>
          <w:rFonts w:asciiTheme="majorBidi" w:hAnsiTheme="majorBidi" w:cstheme="majorBidi"/>
          <w:lang w:val="en-US"/>
        </w:rPr>
        <w:t xml:space="preserve">) has also discussed the application of his account of hinge commitments to the religious case, a view that he calls </w:t>
      </w:r>
      <w:r w:rsidRPr="00F64509">
        <w:rPr>
          <w:rFonts w:asciiTheme="majorBidi" w:hAnsiTheme="majorBidi" w:cstheme="majorBidi"/>
          <w:i/>
          <w:iCs/>
          <w:lang w:val="en-US"/>
        </w:rPr>
        <w:t>quasi-fideism</w:t>
      </w:r>
      <w:r w:rsidRPr="00F64509">
        <w:rPr>
          <w:rFonts w:asciiTheme="majorBidi" w:hAnsiTheme="majorBidi" w:cstheme="majorBidi"/>
          <w:lang w:val="en-US"/>
        </w:rPr>
        <w:t>. As Pritchard (e.g., 2022a) points out, however, applying his hinge proposal to the religious case in this way may well commit one to allowing that there can be certain kinds of hinge commitment that are not quotidian in the way that our ordinary hinge commitments are (which may be a reason to resist this application).</w:t>
      </w:r>
    </w:p>
  </w:footnote>
  <w:footnote w:id="14">
    <w:p w14:paraId="79F7D084" w14:textId="616B710A"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As one might put it, just as one’s inability to imagine a circle-square does not reveal a limitation of one’s imaginative powers, so one’s inability to know one’s hinge commitments does not reveal a limitation of one’s cognitive powers. See Pritchard (2021b) for more on the notion of ignorance in play here and why, in particular, our inability to know our hinge commitments is not ignorance. </w:t>
      </w:r>
    </w:p>
  </w:footnote>
  <w:footnote w:id="15">
    <w:p w14:paraId="33076113" w14:textId="45EF9AA3"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Note that Pritchard doesn’t argue that appealing to hinge commitments enables us to resolve all aspect</w:t>
      </w:r>
      <w:r w:rsidR="00C85B3B">
        <w:rPr>
          <w:rFonts w:asciiTheme="majorBidi" w:hAnsiTheme="majorBidi" w:cstheme="majorBidi"/>
          <w:lang w:val="en-US"/>
        </w:rPr>
        <w:t>s</w:t>
      </w:r>
      <w:r w:rsidRPr="00F64509">
        <w:rPr>
          <w:rFonts w:asciiTheme="majorBidi" w:hAnsiTheme="majorBidi" w:cstheme="majorBidi"/>
          <w:lang w:val="en-US"/>
        </w:rPr>
        <w:t xml:space="preserve"> of the problem of radical scepticism. In particular, he contends that underdetermination-based formulations of radical scepticism are logically distinct from closure-based formulations, and that the hinge commitment strategy is ineffective against the former. This is why he combines hinge epistemology with epistemological disjunctivism (which he maintains does offer a solution to underdetermination-based scepticism) as part of what he calls a ‘biscopic’ treatment of radical scepticism. See especially Pritchard (2015a). </w:t>
      </w:r>
    </w:p>
  </w:footnote>
  <w:footnote w:id="16">
    <w:p w14:paraId="3D23D8F7" w14:textId="48B46F3F"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This is a point that has been emphasized by Cavell in his reading of the later Wittgenstein. For discussion, see Pritchard (2021a).</w:t>
      </w:r>
    </w:p>
  </w:footnote>
  <w:footnote w:id="17">
    <w:p w14:paraId="23474503" w14:textId="5B73A7D6" w:rsidR="00CF75C8" w:rsidRPr="00F64509" w:rsidRDefault="00CF75C8"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For further discussion of epistemic vertigo and its metaphilosophical significance (including its relationship to Pyrrhonian sceptical themes), see Pritchard (2015a, part 4; 2019b; 2019c; 2020; 2021a;</w:t>
      </w:r>
      <w:r w:rsidR="00831095">
        <w:rPr>
          <w:rFonts w:asciiTheme="majorBidi" w:hAnsiTheme="majorBidi" w:cstheme="majorBidi"/>
          <w:lang w:val="en-US"/>
        </w:rPr>
        <w:t xml:space="preserve"> 2026;</w:t>
      </w:r>
      <w:r w:rsidRPr="00F64509">
        <w:rPr>
          <w:rFonts w:asciiTheme="majorBidi" w:hAnsiTheme="majorBidi" w:cstheme="majorBidi"/>
          <w:lang w:val="en-US"/>
        </w:rPr>
        <w:t xml:space="preserve"> </w:t>
      </w:r>
      <w:r w:rsidRPr="00F64509">
        <w:rPr>
          <w:rFonts w:asciiTheme="majorBidi" w:hAnsiTheme="majorBidi" w:cstheme="majorBidi"/>
          <w:i/>
          <w:iCs/>
          <w:lang w:val="en-US"/>
        </w:rPr>
        <w:t>forthcoming</w:t>
      </w:r>
      <w:r w:rsidR="00831095">
        <w:rPr>
          <w:rFonts w:asciiTheme="majorBidi" w:hAnsiTheme="majorBidi" w:cstheme="majorBidi"/>
          <w:i/>
          <w:iCs/>
          <w:lang w:val="en-US"/>
        </w:rPr>
        <w:t>b</w:t>
      </w:r>
      <w:r w:rsidRPr="00F64509">
        <w:rPr>
          <w:rFonts w:asciiTheme="majorBidi" w:hAnsiTheme="majorBidi" w:cstheme="majorBidi"/>
          <w:lang w:val="en-US"/>
        </w:rPr>
        <w:t xml:space="preserve">). </w:t>
      </w:r>
    </w:p>
  </w:footnote>
  <w:footnote w:id="18">
    <w:p w14:paraId="0618B605" w14:textId="4D5B1D62" w:rsidR="009F5281" w:rsidRPr="00F64509" w:rsidRDefault="009F5281"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w:t>
      </w:r>
      <w:r w:rsidRPr="00F64509">
        <w:rPr>
          <w:rFonts w:asciiTheme="majorBidi" w:eastAsia="Times New Roman" w:hAnsiTheme="majorBidi" w:cstheme="majorBidi"/>
          <w:color w:val="000000"/>
          <w:lang w:val="en-US" w:eastAsia="it-IT"/>
        </w:rPr>
        <w:t>And possibly other things, such as that one’s sense organs are working reliably.</w:t>
      </w:r>
    </w:p>
  </w:footnote>
  <w:footnote w:id="19">
    <w:p w14:paraId="4CD72056" w14:textId="1E613F1E" w:rsidR="009F5281" w:rsidRPr="00F64509" w:rsidRDefault="009F5281"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The details of the </w:t>
      </w:r>
      <w:r w:rsidR="00335DC7" w:rsidRPr="00F64509">
        <w:rPr>
          <w:rFonts w:asciiTheme="majorBidi" w:hAnsiTheme="majorBidi" w:cstheme="majorBidi"/>
          <w:lang w:val="en-US"/>
        </w:rPr>
        <w:t>Humean</w:t>
      </w:r>
      <w:r w:rsidRPr="00F64509">
        <w:rPr>
          <w:rFonts w:asciiTheme="majorBidi" w:hAnsiTheme="majorBidi" w:cstheme="majorBidi"/>
          <w:lang w:val="en-US"/>
        </w:rPr>
        <w:t xml:space="preserve"> challenge are spelled out in Coliva (2015, chapters 3-4).</w:t>
      </w:r>
    </w:p>
  </w:footnote>
  <w:footnote w:id="20">
    <w:p w14:paraId="56A0F4C5" w14:textId="2202CD77" w:rsidR="00EF6325" w:rsidRPr="00F64509" w:rsidRDefault="00EF6325"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This is Dretske’s (197</w:t>
      </w:r>
      <w:r w:rsidR="00176617" w:rsidRPr="00F64509">
        <w:rPr>
          <w:rFonts w:asciiTheme="majorBidi" w:hAnsiTheme="majorBidi" w:cstheme="majorBidi"/>
          <w:lang w:val="en-US"/>
        </w:rPr>
        <w:t>0</w:t>
      </w:r>
      <w:r w:rsidRPr="00F64509">
        <w:rPr>
          <w:rFonts w:asciiTheme="majorBidi" w:hAnsiTheme="majorBidi" w:cstheme="majorBidi"/>
          <w:lang w:val="en-US"/>
        </w:rPr>
        <w:t>) terminology.</w:t>
      </w:r>
      <w:r w:rsidR="003225C4" w:rsidRPr="00F64509">
        <w:rPr>
          <w:rFonts w:asciiTheme="majorBidi" w:hAnsiTheme="majorBidi" w:cstheme="majorBidi"/>
          <w:lang w:val="en-US"/>
        </w:rPr>
        <w:t xml:space="preserve"> Notice, however, that Coliva (20</w:t>
      </w:r>
      <w:r w:rsidR="00FA01AD" w:rsidRPr="00F64509">
        <w:rPr>
          <w:rFonts w:asciiTheme="majorBidi" w:hAnsiTheme="majorBidi" w:cstheme="majorBidi"/>
          <w:lang w:val="en-US"/>
        </w:rPr>
        <w:t>10</w:t>
      </w:r>
      <w:r w:rsidR="003225C4" w:rsidRPr="00F64509">
        <w:rPr>
          <w:rFonts w:asciiTheme="majorBidi" w:hAnsiTheme="majorBidi" w:cstheme="majorBidi"/>
          <w:lang w:val="en-US"/>
        </w:rPr>
        <w:t>) doesn’t concur with the interpretation favored by Williams and Pri</w:t>
      </w:r>
      <w:r w:rsidR="00FA01AD" w:rsidRPr="00F64509">
        <w:rPr>
          <w:rFonts w:asciiTheme="majorBidi" w:hAnsiTheme="majorBidi" w:cstheme="majorBidi"/>
          <w:lang w:val="en-US"/>
        </w:rPr>
        <w:t>t</w:t>
      </w:r>
      <w:r w:rsidR="003225C4" w:rsidRPr="00F64509">
        <w:rPr>
          <w:rFonts w:asciiTheme="majorBidi" w:hAnsiTheme="majorBidi" w:cstheme="majorBidi"/>
          <w:lang w:val="en-US"/>
        </w:rPr>
        <w:t xml:space="preserve">chard (see fn. 11) according to which “There are physical objects” is </w:t>
      </w:r>
      <w:r w:rsidR="003225C4" w:rsidRPr="00F64509">
        <w:rPr>
          <w:rFonts w:asciiTheme="majorBidi" w:hAnsiTheme="majorBidi" w:cstheme="majorBidi"/>
          <w:i/>
          <w:iCs/>
          <w:lang w:val="en-US"/>
        </w:rPr>
        <w:t>always</w:t>
      </w:r>
      <w:r w:rsidR="003225C4" w:rsidRPr="00F64509">
        <w:rPr>
          <w:rFonts w:asciiTheme="majorBidi" w:hAnsiTheme="majorBidi" w:cstheme="majorBidi"/>
          <w:lang w:val="en-US"/>
        </w:rPr>
        <w:t xml:space="preserve"> nonsense. It is so only when uttered in a descriptive mode (or it is negated in the same mode by someone of </w:t>
      </w:r>
      <w:r w:rsidR="00FA01AD" w:rsidRPr="00F64509">
        <w:rPr>
          <w:rFonts w:asciiTheme="majorBidi" w:hAnsiTheme="majorBidi" w:cstheme="majorBidi"/>
          <w:lang w:val="en-US"/>
        </w:rPr>
        <w:t>an</w:t>
      </w:r>
      <w:r w:rsidR="003225C4" w:rsidRPr="00F64509">
        <w:rPr>
          <w:rFonts w:asciiTheme="majorBidi" w:hAnsiTheme="majorBidi" w:cstheme="majorBidi"/>
          <w:lang w:val="en-US"/>
        </w:rPr>
        <w:t xml:space="preserve"> idealist persuasion, say). It is not nonsense if uttered in a grammatical mode. (See also fn. 25)</w:t>
      </w:r>
    </w:p>
  </w:footnote>
  <w:footnote w:id="21">
    <w:p w14:paraId="7385B43A" w14:textId="31851403" w:rsidR="00EF6325" w:rsidRPr="00F64509" w:rsidRDefault="00EF6325"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Coliva </w:t>
      </w:r>
      <w:r w:rsidR="00FA01AD" w:rsidRPr="00F64509">
        <w:rPr>
          <w:rFonts w:asciiTheme="majorBidi" w:hAnsiTheme="majorBidi" w:cstheme="majorBidi"/>
          <w:lang w:val="en-US"/>
        </w:rPr>
        <w:t xml:space="preserve">has </w:t>
      </w:r>
      <w:r w:rsidRPr="00F64509">
        <w:rPr>
          <w:rFonts w:asciiTheme="majorBidi" w:hAnsiTheme="majorBidi" w:cstheme="majorBidi"/>
          <w:lang w:val="en-US"/>
        </w:rPr>
        <w:t xml:space="preserve">repeatedly argued against interpreting Wittgenstein as an epistemic relativist (Coliva 2010a, b) and against the charge of herself </w:t>
      </w:r>
      <w:r w:rsidR="00B53D40" w:rsidRPr="00F64509">
        <w:rPr>
          <w:rFonts w:asciiTheme="majorBidi" w:hAnsiTheme="majorBidi" w:cstheme="majorBidi"/>
          <w:lang w:val="en-US"/>
        </w:rPr>
        <w:t xml:space="preserve">proposing </w:t>
      </w:r>
      <w:r w:rsidRPr="00F64509">
        <w:rPr>
          <w:rFonts w:asciiTheme="majorBidi" w:hAnsiTheme="majorBidi" w:cstheme="majorBidi"/>
          <w:lang w:val="en-US"/>
        </w:rPr>
        <w:t>a form of hinge epistemology open to relativistic implications (Coliva 2015, 2022).</w:t>
      </w:r>
    </w:p>
  </w:footnote>
  <w:footnote w:id="22">
    <w:p w14:paraId="189AB0AE" w14:textId="76762244" w:rsidR="00EF6325" w:rsidRPr="00F64509" w:rsidRDefault="00EF6325"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See Coliva and Palmira (2021).</w:t>
      </w:r>
      <w:r w:rsidR="00B53D40" w:rsidRPr="00F64509">
        <w:rPr>
          <w:rFonts w:asciiTheme="majorBidi" w:hAnsiTheme="majorBidi" w:cstheme="majorBidi"/>
          <w:lang w:val="en-US"/>
        </w:rPr>
        <w:t xml:space="preserve"> This position is relaxed in Coliva (</w:t>
      </w:r>
      <w:r w:rsidR="00EC595A" w:rsidRPr="00F64509">
        <w:rPr>
          <w:rFonts w:asciiTheme="majorBidi" w:hAnsiTheme="majorBidi" w:cstheme="majorBidi"/>
          <w:lang w:val="en-US"/>
        </w:rPr>
        <w:t>2024</w:t>
      </w:r>
      <w:r w:rsidR="00B53D40" w:rsidRPr="00F64509">
        <w:rPr>
          <w:rFonts w:asciiTheme="majorBidi" w:hAnsiTheme="majorBidi" w:cstheme="majorBidi"/>
          <w:lang w:val="en-US"/>
        </w:rPr>
        <w:t>), which contains the extension of her brand of hinge epistemology to issues in social and applied epistemology.</w:t>
      </w:r>
    </w:p>
  </w:footnote>
  <w:footnote w:id="23">
    <w:p w14:paraId="4FE3A916" w14:textId="6D7DA3F1" w:rsidR="00B53D40" w:rsidRPr="00F64509" w:rsidRDefault="00B53D40"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The moderate account stirs a middle path between Pryor’s (2004) liberal, and Wright’s (2004) conservative, respective accounts of the structure of perceptual justification. For </w:t>
      </w:r>
      <w:r w:rsidR="00176617" w:rsidRPr="00F64509">
        <w:rPr>
          <w:rFonts w:asciiTheme="majorBidi" w:hAnsiTheme="majorBidi" w:cstheme="majorBidi"/>
          <w:lang w:val="en-US"/>
        </w:rPr>
        <w:t>a detailed discussion</w:t>
      </w:r>
      <w:r w:rsidRPr="00F64509">
        <w:rPr>
          <w:rFonts w:asciiTheme="majorBidi" w:hAnsiTheme="majorBidi" w:cstheme="majorBidi"/>
          <w:lang w:val="en-US"/>
        </w:rPr>
        <w:t>, see Coliva (2015, chapters 1-2).</w:t>
      </w:r>
    </w:p>
  </w:footnote>
  <w:footnote w:id="24">
    <w:p w14:paraId="750C88D9" w14:textId="777BEA7F" w:rsidR="004C7C7D" w:rsidRPr="00F64509" w:rsidRDefault="004C7C7D"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This kind of transmission failure would differ from Wright’s insofar as it would not depend on presupposing that (III) needs to be independently </w:t>
      </w:r>
      <w:r w:rsidRPr="00F64509">
        <w:rPr>
          <w:rFonts w:asciiTheme="majorBidi" w:hAnsiTheme="majorBidi" w:cstheme="majorBidi"/>
          <w:i/>
          <w:iCs/>
          <w:lang w:val="en-US"/>
        </w:rPr>
        <w:t>justified</w:t>
      </w:r>
      <w:r w:rsidRPr="00F64509">
        <w:rPr>
          <w:rFonts w:asciiTheme="majorBidi" w:hAnsiTheme="majorBidi" w:cstheme="majorBidi"/>
          <w:lang w:val="en-US"/>
        </w:rPr>
        <w:t xml:space="preserve"> </w:t>
      </w:r>
      <w:r w:rsidR="00FA01AD" w:rsidRPr="00F64509">
        <w:rPr>
          <w:rFonts w:asciiTheme="majorBidi" w:hAnsiTheme="majorBidi" w:cstheme="majorBidi"/>
          <w:lang w:val="en-US"/>
        </w:rPr>
        <w:t xml:space="preserve">(or “warranted” in Wright’s terminology) </w:t>
      </w:r>
      <w:r w:rsidRPr="00F64509">
        <w:rPr>
          <w:rFonts w:asciiTheme="majorBidi" w:hAnsiTheme="majorBidi" w:cstheme="majorBidi"/>
          <w:lang w:val="en-US"/>
        </w:rPr>
        <w:t xml:space="preserve">in order for the perceptual justification of (I) to be possible. For a detailed discussion, see Coliva </w:t>
      </w:r>
      <w:r w:rsidR="00AE6BCF" w:rsidRPr="00F64509">
        <w:rPr>
          <w:rFonts w:asciiTheme="majorBidi" w:hAnsiTheme="majorBidi" w:cstheme="majorBidi"/>
          <w:lang w:val="en-US"/>
        </w:rPr>
        <w:t>(</w:t>
      </w:r>
      <w:r w:rsidRPr="00F64509">
        <w:rPr>
          <w:rFonts w:asciiTheme="majorBidi" w:hAnsiTheme="majorBidi" w:cstheme="majorBidi"/>
          <w:lang w:val="en-US"/>
        </w:rPr>
        <w:t>2015, chapter 3</w:t>
      </w:r>
      <w:r w:rsidR="00AE6BCF" w:rsidRPr="00F64509">
        <w:rPr>
          <w:rFonts w:asciiTheme="majorBidi" w:hAnsiTheme="majorBidi" w:cstheme="majorBidi"/>
          <w:lang w:val="en-US"/>
        </w:rPr>
        <w:t>).</w:t>
      </w:r>
    </w:p>
  </w:footnote>
  <w:footnote w:id="25">
    <w:p w14:paraId="7CEAF426" w14:textId="799EE548" w:rsidR="004C7C7D" w:rsidRPr="00F64509" w:rsidRDefault="004C7C7D"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w:t>
      </w:r>
      <w:r w:rsidRPr="00F64509">
        <w:rPr>
          <w:rFonts w:asciiTheme="majorBidi" w:eastAsia="Times New Roman" w:hAnsiTheme="majorBidi" w:cstheme="majorBidi"/>
          <w:color w:val="000000"/>
          <w:lang w:val="en-US" w:eastAsia="it-IT"/>
        </w:rPr>
        <w:t xml:space="preserve">See Coliva </w:t>
      </w:r>
      <w:r w:rsidR="00AE6BCF" w:rsidRPr="00F64509">
        <w:rPr>
          <w:rFonts w:asciiTheme="majorBidi" w:eastAsia="Times New Roman" w:hAnsiTheme="majorBidi" w:cstheme="majorBidi"/>
          <w:color w:val="000000"/>
          <w:lang w:val="en-US" w:eastAsia="it-IT"/>
        </w:rPr>
        <w:t>(</w:t>
      </w:r>
      <w:r w:rsidRPr="00F64509">
        <w:rPr>
          <w:rFonts w:asciiTheme="majorBidi" w:eastAsia="Times New Roman" w:hAnsiTheme="majorBidi" w:cstheme="majorBidi"/>
          <w:color w:val="000000"/>
          <w:lang w:val="en-US" w:eastAsia="it-IT"/>
        </w:rPr>
        <w:t>2015, chapter 3</w:t>
      </w:r>
      <w:r w:rsidR="00AE6BCF" w:rsidRPr="00F64509">
        <w:rPr>
          <w:rFonts w:asciiTheme="majorBidi" w:eastAsia="Times New Roman" w:hAnsiTheme="majorBidi" w:cstheme="majorBidi"/>
          <w:color w:val="000000"/>
          <w:lang w:val="en-US" w:eastAsia="it-IT"/>
        </w:rPr>
        <w:t>)</w:t>
      </w:r>
      <w:r w:rsidRPr="00F64509">
        <w:rPr>
          <w:rFonts w:asciiTheme="majorBidi" w:eastAsia="Times New Roman" w:hAnsiTheme="majorBidi" w:cstheme="majorBidi"/>
          <w:color w:val="000000"/>
          <w:lang w:val="en-US" w:eastAsia="it-IT"/>
        </w:rPr>
        <w:t>.</w:t>
      </w:r>
    </w:p>
  </w:footnote>
  <w:footnote w:id="26">
    <w:p w14:paraId="5CA557CE" w14:textId="6D50DAC6" w:rsidR="004C7C7D" w:rsidRPr="00F64509" w:rsidRDefault="004C7C7D"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Cf. OC </w:t>
      </w:r>
      <w:r w:rsidR="004737DC" w:rsidRPr="00F64509">
        <w:rPr>
          <w:rFonts w:asciiTheme="majorBidi" w:hAnsiTheme="majorBidi" w:cstheme="majorBidi"/>
          <w:lang w:val="en-US"/>
        </w:rPr>
        <w:t>(</w:t>
      </w:r>
      <w:r w:rsidRPr="00F64509">
        <w:rPr>
          <w:rFonts w:asciiTheme="majorBidi" w:hAnsiTheme="majorBidi" w:cstheme="majorBidi"/>
          <w:lang w:val="en-US"/>
        </w:rPr>
        <w:t>383, 676</w:t>
      </w:r>
      <w:r w:rsidR="004737DC" w:rsidRPr="00F64509">
        <w:rPr>
          <w:rFonts w:asciiTheme="majorBidi" w:hAnsiTheme="majorBidi" w:cstheme="majorBidi"/>
          <w:lang w:val="en-US"/>
        </w:rPr>
        <w:t>)</w:t>
      </w:r>
      <w:r w:rsidRPr="00F64509">
        <w:rPr>
          <w:rFonts w:asciiTheme="majorBidi" w:hAnsiTheme="majorBidi" w:cstheme="majorBidi"/>
          <w:lang w:val="en-US"/>
        </w:rPr>
        <w:t>.</w:t>
      </w:r>
    </w:p>
  </w:footnote>
  <w:footnote w:id="27">
    <w:p w14:paraId="4E26595E" w14:textId="2AB44BA3" w:rsidR="004C7C7D" w:rsidRPr="00F64509" w:rsidRDefault="004C7C7D"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Coliva (2010) </w:t>
      </w:r>
      <w:r w:rsidR="00AE6BCF" w:rsidRPr="00F64509">
        <w:rPr>
          <w:rFonts w:asciiTheme="majorBidi" w:hAnsiTheme="majorBidi" w:cstheme="majorBidi"/>
          <w:lang w:val="en-US"/>
        </w:rPr>
        <w:t>argues</w:t>
      </w:r>
      <w:r w:rsidRPr="00F64509">
        <w:rPr>
          <w:rFonts w:asciiTheme="majorBidi" w:hAnsiTheme="majorBidi" w:cstheme="majorBidi"/>
          <w:lang w:val="en-US"/>
        </w:rPr>
        <w:t xml:space="preserve"> that for Wittgenstein </w:t>
      </w:r>
      <w:r w:rsidR="00FA01AD" w:rsidRPr="00F64509">
        <w:rPr>
          <w:rFonts w:asciiTheme="majorBidi" w:hAnsiTheme="majorBidi" w:cstheme="majorBidi"/>
          <w:lang w:val="en-US"/>
        </w:rPr>
        <w:t>such a presupposition or its kind “There are physical objects”</w:t>
      </w:r>
      <w:r w:rsidRPr="00F64509">
        <w:rPr>
          <w:rFonts w:asciiTheme="majorBidi" w:hAnsiTheme="majorBidi" w:cstheme="majorBidi"/>
          <w:lang w:val="en-US"/>
        </w:rPr>
        <w:t xml:space="preserve"> play a grammatical role and </w:t>
      </w:r>
      <w:r w:rsidR="00FA01AD" w:rsidRPr="00F64509">
        <w:rPr>
          <w:rFonts w:asciiTheme="majorBidi" w:hAnsiTheme="majorBidi" w:cstheme="majorBidi"/>
          <w:lang w:val="en-US"/>
        </w:rPr>
        <w:t>are</w:t>
      </w:r>
      <w:r w:rsidRPr="00F64509">
        <w:rPr>
          <w:rFonts w:asciiTheme="majorBidi" w:hAnsiTheme="majorBidi" w:cstheme="majorBidi"/>
          <w:lang w:val="en-US"/>
        </w:rPr>
        <w:t xml:space="preserve"> not nonsense.</w:t>
      </w:r>
      <w:r w:rsidR="00AE6BCF" w:rsidRPr="00F64509">
        <w:rPr>
          <w:rFonts w:asciiTheme="majorBidi" w:hAnsiTheme="majorBidi" w:cstheme="majorBidi"/>
          <w:lang w:val="en-US"/>
        </w:rPr>
        <w:t xml:space="preserve"> </w:t>
      </w:r>
      <w:r w:rsidR="00FA01AD" w:rsidRPr="00F64509">
        <w:rPr>
          <w:rFonts w:asciiTheme="majorBidi" w:hAnsiTheme="majorBidi" w:cstheme="majorBidi"/>
          <w:lang w:val="en-US"/>
        </w:rPr>
        <w:t>They are</w:t>
      </w:r>
      <w:r w:rsidR="00AE6BCF" w:rsidRPr="00F64509">
        <w:rPr>
          <w:rFonts w:asciiTheme="majorBidi" w:hAnsiTheme="majorBidi" w:cstheme="majorBidi"/>
          <w:lang w:val="en-US"/>
        </w:rPr>
        <w:t xml:space="preserve"> nonsense only when interpreted as empirical, factual statement</w:t>
      </w:r>
      <w:r w:rsidR="00FA01AD" w:rsidRPr="00F64509">
        <w:rPr>
          <w:rFonts w:asciiTheme="majorBidi" w:hAnsiTheme="majorBidi" w:cstheme="majorBidi"/>
          <w:lang w:val="en-US"/>
        </w:rPr>
        <w:t>s</w:t>
      </w:r>
      <w:r w:rsidR="00AE6BCF" w:rsidRPr="00F64509">
        <w:rPr>
          <w:rFonts w:asciiTheme="majorBidi" w:hAnsiTheme="majorBidi" w:cstheme="majorBidi"/>
          <w:lang w:val="en-US"/>
        </w:rPr>
        <w:t xml:space="preserve">. In this respect, Wittgenstein’s position is very similar to Carnap’s (1950). For a discussion of the development of Wittgenstein’s views about “There are (physical) objects”, from the </w:t>
      </w:r>
      <w:r w:rsidR="00AE6BCF" w:rsidRPr="00F64509">
        <w:rPr>
          <w:rFonts w:asciiTheme="majorBidi" w:hAnsiTheme="majorBidi" w:cstheme="majorBidi"/>
          <w:i/>
          <w:iCs/>
          <w:lang w:val="en-US"/>
        </w:rPr>
        <w:t xml:space="preserve">Tractatus </w:t>
      </w:r>
      <w:r w:rsidR="00BC3D85" w:rsidRPr="00F64509">
        <w:rPr>
          <w:rFonts w:asciiTheme="majorBidi" w:hAnsiTheme="majorBidi" w:cstheme="majorBidi"/>
          <w:i/>
          <w:iCs/>
          <w:lang w:val="en-US"/>
        </w:rPr>
        <w:t>L</w:t>
      </w:r>
      <w:r w:rsidR="00AE6BCF" w:rsidRPr="00F64509">
        <w:rPr>
          <w:rFonts w:asciiTheme="majorBidi" w:hAnsiTheme="majorBidi" w:cstheme="majorBidi"/>
          <w:i/>
          <w:iCs/>
          <w:lang w:val="en-US"/>
        </w:rPr>
        <w:t>ogico-</w:t>
      </w:r>
      <w:r w:rsidR="00BC3D85" w:rsidRPr="00F64509">
        <w:rPr>
          <w:rFonts w:asciiTheme="majorBidi" w:hAnsiTheme="majorBidi" w:cstheme="majorBidi"/>
          <w:i/>
          <w:iCs/>
          <w:lang w:val="en-US"/>
        </w:rPr>
        <w:t>P</w:t>
      </w:r>
      <w:r w:rsidR="00AE6BCF" w:rsidRPr="00F64509">
        <w:rPr>
          <w:rFonts w:asciiTheme="majorBidi" w:hAnsiTheme="majorBidi" w:cstheme="majorBidi"/>
          <w:i/>
          <w:iCs/>
          <w:lang w:val="en-US"/>
        </w:rPr>
        <w:t>hilosophicus</w:t>
      </w:r>
      <w:r w:rsidR="00AE6BCF" w:rsidRPr="00F64509">
        <w:rPr>
          <w:rFonts w:asciiTheme="majorBidi" w:hAnsiTheme="majorBidi" w:cstheme="majorBidi"/>
          <w:lang w:val="en-US"/>
        </w:rPr>
        <w:t xml:space="preserve"> to </w:t>
      </w:r>
      <w:r w:rsidR="00AE6BCF" w:rsidRPr="00F64509">
        <w:rPr>
          <w:rFonts w:asciiTheme="majorBidi" w:hAnsiTheme="majorBidi" w:cstheme="majorBidi"/>
          <w:i/>
          <w:iCs/>
          <w:lang w:val="en-US"/>
        </w:rPr>
        <w:t>On Certainty</w:t>
      </w:r>
      <w:r w:rsidR="00AE6BCF" w:rsidRPr="00F64509">
        <w:rPr>
          <w:rFonts w:asciiTheme="majorBidi" w:hAnsiTheme="majorBidi" w:cstheme="majorBidi"/>
          <w:lang w:val="en-US"/>
        </w:rPr>
        <w:t xml:space="preserve"> and the comparison with Carnap, see Coliva (202</w:t>
      </w:r>
      <w:r w:rsidR="002A7AF6">
        <w:rPr>
          <w:rFonts w:asciiTheme="majorBidi" w:hAnsiTheme="majorBidi" w:cstheme="majorBidi"/>
          <w:lang w:val="en-US"/>
        </w:rPr>
        <w:t>5c</w:t>
      </w:r>
      <w:r w:rsidR="00AE6BCF" w:rsidRPr="00F64509">
        <w:rPr>
          <w:rFonts w:asciiTheme="majorBidi" w:hAnsiTheme="majorBidi" w:cstheme="majorBidi"/>
          <w:lang w:val="en-US"/>
        </w:rPr>
        <w:t>).</w:t>
      </w:r>
    </w:p>
  </w:footnote>
  <w:footnote w:id="28">
    <w:p w14:paraId="303F5BB1" w14:textId="036D2BD2" w:rsidR="004C7C7D" w:rsidRPr="00F64509" w:rsidRDefault="004C7C7D"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In the former case, the proposition would be believed, in the latter it would be accepted, where acceptance, on </w:t>
      </w:r>
      <w:r w:rsidR="00BC3D85" w:rsidRPr="00F64509">
        <w:rPr>
          <w:rFonts w:asciiTheme="majorBidi" w:hAnsiTheme="majorBidi" w:cstheme="majorBidi"/>
          <w:lang w:val="en-US"/>
        </w:rPr>
        <w:t>Coliva’s</w:t>
      </w:r>
      <w:r w:rsidRPr="00F64509">
        <w:rPr>
          <w:rFonts w:asciiTheme="majorBidi" w:hAnsiTheme="majorBidi" w:cstheme="majorBidi"/>
          <w:lang w:val="en-US"/>
        </w:rPr>
        <w:t xml:space="preserve"> account, is possible without epistemic evidence backing its content.</w:t>
      </w:r>
    </w:p>
  </w:footnote>
  <w:footnote w:id="29">
    <w:p w14:paraId="2CBA899C" w14:textId="59D1F873" w:rsidR="00FF04FD" w:rsidRPr="00F64509" w:rsidRDefault="00FF04FD" w:rsidP="00FA01AD">
      <w:pPr>
        <w:pStyle w:val="FootnoteText"/>
        <w:spacing w:beforeAutospacing="0" w:after="120" w:afterAutospacing="0"/>
        <w:jc w:val="both"/>
        <w:rPr>
          <w:rFonts w:asciiTheme="majorBidi" w:hAnsiTheme="majorBidi" w:cstheme="majorBidi"/>
          <w:lang w:val="en-US"/>
        </w:rPr>
      </w:pPr>
      <w:r w:rsidRPr="00F64509">
        <w:rPr>
          <w:rStyle w:val="FootnoteReference"/>
          <w:rFonts w:asciiTheme="majorBidi" w:hAnsiTheme="majorBidi" w:cstheme="majorBidi"/>
        </w:rPr>
        <w:footnoteRef/>
      </w:r>
      <w:r w:rsidRPr="00F64509">
        <w:rPr>
          <w:rFonts w:asciiTheme="majorBidi" w:hAnsiTheme="majorBidi" w:cstheme="majorBidi"/>
          <w:lang w:val="en-US"/>
        </w:rPr>
        <w:t xml:space="preserve"> See Coliva and Palmira (2020) on this issue.</w:t>
      </w:r>
      <w:r w:rsidR="009D36CD" w:rsidRPr="00F64509">
        <w:rPr>
          <w:rFonts w:asciiTheme="majorBidi" w:hAnsiTheme="majorBidi" w:cstheme="majorBidi"/>
          <w:lang w:val="en-US"/>
        </w:rPr>
        <w:t xml:space="preserve"> This problem may generalize and afflict other versions of hinge epistemology which exclude hinges from the range of rationally held commitments or assumptions.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8878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C253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C896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8E2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6238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3C1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D4DC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18D4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EC7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2AA7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12" w15:restartNumberingAfterBreak="0">
    <w:nsid w:val="00000003"/>
    <w:multiLevelType w:val="singleLevel"/>
    <w:tmpl w:val="B3BCA7EC"/>
    <w:lvl w:ilvl="0">
      <w:start w:val="1"/>
      <w:numFmt w:val="decimal"/>
      <w:lvlText w:val="(%1)"/>
      <w:lvlJc w:val="left"/>
      <w:pPr>
        <w:tabs>
          <w:tab w:val="num" w:pos="360"/>
        </w:tabs>
        <w:ind w:left="360" w:hanging="360"/>
      </w:pPr>
    </w:lvl>
  </w:abstractNum>
  <w:abstractNum w:abstractNumId="1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0000007"/>
    <w:multiLevelType w:val="singleLevel"/>
    <w:tmpl w:val="00000000"/>
    <w:lvl w:ilvl="0">
      <w:start w:val="1"/>
      <w:numFmt w:val="decimal"/>
      <w:lvlText w:val="%1."/>
      <w:lvlJc w:val="left"/>
      <w:pPr>
        <w:tabs>
          <w:tab w:val="num" w:pos="360"/>
        </w:tabs>
        <w:ind w:left="360" w:hanging="360"/>
      </w:pPr>
    </w:lvl>
  </w:abstractNum>
  <w:abstractNum w:abstractNumId="15" w15:restartNumberingAfterBreak="0">
    <w:nsid w:val="01277232"/>
    <w:multiLevelType w:val="hybridMultilevel"/>
    <w:tmpl w:val="523C3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C66651E"/>
    <w:multiLevelType w:val="hybridMultilevel"/>
    <w:tmpl w:val="02584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EC2748"/>
    <w:multiLevelType w:val="hybridMultilevel"/>
    <w:tmpl w:val="509E146E"/>
    <w:lvl w:ilvl="0" w:tplc="4A5AB4A4">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3C1CC5"/>
    <w:multiLevelType w:val="hybridMultilevel"/>
    <w:tmpl w:val="EA987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110DC4"/>
    <w:multiLevelType w:val="hybridMultilevel"/>
    <w:tmpl w:val="8D7417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C65EFB"/>
    <w:multiLevelType w:val="hybridMultilevel"/>
    <w:tmpl w:val="370047E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2F285D59"/>
    <w:multiLevelType w:val="multilevel"/>
    <w:tmpl w:val="C5AABB0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2" w15:restartNumberingAfterBreak="0">
    <w:nsid w:val="43D223BC"/>
    <w:multiLevelType w:val="hybridMultilevel"/>
    <w:tmpl w:val="E9F4F136"/>
    <w:lvl w:ilvl="0" w:tplc="6764D6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B13012"/>
    <w:multiLevelType w:val="hybridMultilevel"/>
    <w:tmpl w:val="81D8B2D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F02887"/>
    <w:multiLevelType w:val="multilevel"/>
    <w:tmpl w:val="FA42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A976F9"/>
    <w:multiLevelType w:val="hybridMultilevel"/>
    <w:tmpl w:val="F4A2AC0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2D2CE6"/>
    <w:multiLevelType w:val="hybridMultilevel"/>
    <w:tmpl w:val="5170C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5752B0"/>
    <w:multiLevelType w:val="hybridMultilevel"/>
    <w:tmpl w:val="D32E2AE0"/>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67644497"/>
    <w:multiLevelType w:val="multilevel"/>
    <w:tmpl w:val="FD8E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426D8A"/>
    <w:multiLevelType w:val="hybridMultilevel"/>
    <w:tmpl w:val="267AA3A8"/>
    <w:lvl w:ilvl="0" w:tplc="FFFFFFFF">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E41D67"/>
    <w:multiLevelType w:val="hybridMultilevel"/>
    <w:tmpl w:val="267AA3A8"/>
    <w:lvl w:ilvl="0" w:tplc="E9D6634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76521">
    <w:abstractNumId w:val="22"/>
  </w:num>
  <w:num w:numId="2" w16cid:durableId="2066448217">
    <w:abstractNumId w:val="30"/>
  </w:num>
  <w:num w:numId="3" w16cid:durableId="1598441420">
    <w:abstractNumId w:val="28"/>
  </w:num>
  <w:num w:numId="4" w16cid:durableId="1804040054">
    <w:abstractNumId w:val="24"/>
  </w:num>
  <w:num w:numId="5" w16cid:durableId="970943607">
    <w:abstractNumId w:val="21"/>
  </w:num>
  <w:num w:numId="6" w16cid:durableId="1848599300">
    <w:abstractNumId w:val="15"/>
  </w:num>
  <w:num w:numId="7" w16cid:durableId="1908880643">
    <w:abstractNumId w:val="16"/>
  </w:num>
  <w:num w:numId="8" w16cid:durableId="53990248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4609716">
    <w:abstractNumId w:val="19"/>
  </w:num>
  <w:num w:numId="10" w16cid:durableId="1323195975">
    <w:abstractNumId w:val="26"/>
  </w:num>
  <w:num w:numId="11" w16cid:durableId="1351762461">
    <w:abstractNumId w:val="10"/>
  </w:num>
  <w:num w:numId="12" w16cid:durableId="1494104756">
    <w:abstractNumId w:val="14"/>
  </w:num>
  <w:num w:numId="13" w16cid:durableId="1560752282">
    <w:abstractNumId w:val="11"/>
  </w:num>
  <w:num w:numId="14" w16cid:durableId="2081632489">
    <w:abstractNumId w:val="13"/>
  </w:num>
  <w:num w:numId="15" w16cid:durableId="708797858">
    <w:abstractNumId w:val="20"/>
  </w:num>
  <w:num w:numId="16" w16cid:durableId="1388140498">
    <w:abstractNumId w:val="9"/>
  </w:num>
  <w:num w:numId="17" w16cid:durableId="2066829981">
    <w:abstractNumId w:val="7"/>
  </w:num>
  <w:num w:numId="18" w16cid:durableId="2068139947">
    <w:abstractNumId w:val="6"/>
  </w:num>
  <w:num w:numId="19" w16cid:durableId="1006978667">
    <w:abstractNumId w:val="5"/>
  </w:num>
  <w:num w:numId="20" w16cid:durableId="176427231">
    <w:abstractNumId w:val="4"/>
  </w:num>
  <w:num w:numId="21" w16cid:durableId="2014800244">
    <w:abstractNumId w:val="8"/>
  </w:num>
  <w:num w:numId="22" w16cid:durableId="1780416747">
    <w:abstractNumId w:val="3"/>
  </w:num>
  <w:num w:numId="23" w16cid:durableId="1703363497">
    <w:abstractNumId w:val="2"/>
  </w:num>
  <w:num w:numId="24" w16cid:durableId="533352921">
    <w:abstractNumId w:val="1"/>
  </w:num>
  <w:num w:numId="25" w16cid:durableId="1538084484">
    <w:abstractNumId w:val="0"/>
  </w:num>
  <w:num w:numId="26" w16cid:durableId="1245455839">
    <w:abstractNumId w:val="17"/>
  </w:num>
  <w:num w:numId="27" w16cid:durableId="1648364478">
    <w:abstractNumId w:val="27"/>
  </w:num>
  <w:num w:numId="28" w16cid:durableId="1348559633">
    <w:abstractNumId w:val="18"/>
  </w:num>
  <w:num w:numId="29" w16cid:durableId="1197308921">
    <w:abstractNumId w:val="12"/>
    <w:lvlOverride w:ilvl="0">
      <w:startOverride w:val="1"/>
    </w:lvlOverride>
  </w:num>
  <w:num w:numId="30" w16cid:durableId="1738674558">
    <w:abstractNumId w:val="25"/>
  </w:num>
  <w:num w:numId="31" w16cid:durableId="1748456463">
    <w:abstractNumId w:val="29"/>
  </w:num>
  <w:num w:numId="32" w16cid:durableId="3601345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C7D"/>
    <w:rsid w:val="00002A62"/>
    <w:rsid w:val="00005351"/>
    <w:rsid w:val="00005D2D"/>
    <w:rsid w:val="000613A0"/>
    <w:rsid w:val="00081BE9"/>
    <w:rsid w:val="000874A4"/>
    <w:rsid w:val="000A1174"/>
    <w:rsid w:val="000A7195"/>
    <w:rsid w:val="000E572D"/>
    <w:rsid w:val="000F4453"/>
    <w:rsid w:val="00104E28"/>
    <w:rsid w:val="00135AF0"/>
    <w:rsid w:val="00157F42"/>
    <w:rsid w:val="00176617"/>
    <w:rsid w:val="00176DA6"/>
    <w:rsid w:val="0018537E"/>
    <w:rsid w:val="0018769D"/>
    <w:rsid w:val="001B2FAD"/>
    <w:rsid w:val="001F0B4C"/>
    <w:rsid w:val="00226C70"/>
    <w:rsid w:val="002322CB"/>
    <w:rsid w:val="00235506"/>
    <w:rsid w:val="0024401A"/>
    <w:rsid w:val="00296E4D"/>
    <w:rsid w:val="002A1FE8"/>
    <w:rsid w:val="002A7AF6"/>
    <w:rsid w:val="002D2676"/>
    <w:rsid w:val="002E0767"/>
    <w:rsid w:val="002E5AC3"/>
    <w:rsid w:val="002F3116"/>
    <w:rsid w:val="00301352"/>
    <w:rsid w:val="003225C4"/>
    <w:rsid w:val="00335DC7"/>
    <w:rsid w:val="0034053C"/>
    <w:rsid w:val="00346328"/>
    <w:rsid w:val="00350EF0"/>
    <w:rsid w:val="00365398"/>
    <w:rsid w:val="003A431B"/>
    <w:rsid w:val="003C654B"/>
    <w:rsid w:val="003C7958"/>
    <w:rsid w:val="003D5344"/>
    <w:rsid w:val="003E5538"/>
    <w:rsid w:val="003F004A"/>
    <w:rsid w:val="003F068D"/>
    <w:rsid w:val="00402A36"/>
    <w:rsid w:val="00404F96"/>
    <w:rsid w:val="00462EA6"/>
    <w:rsid w:val="004737DC"/>
    <w:rsid w:val="00473A85"/>
    <w:rsid w:val="00490A07"/>
    <w:rsid w:val="004935D1"/>
    <w:rsid w:val="004C2FF1"/>
    <w:rsid w:val="004C7C7D"/>
    <w:rsid w:val="004D5D55"/>
    <w:rsid w:val="00524292"/>
    <w:rsid w:val="0054342A"/>
    <w:rsid w:val="00552711"/>
    <w:rsid w:val="0055292F"/>
    <w:rsid w:val="0057491E"/>
    <w:rsid w:val="005968B1"/>
    <w:rsid w:val="005C1A70"/>
    <w:rsid w:val="005D0E0B"/>
    <w:rsid w:val="006069C2"/>
    <w:rsid w:val="00606AFC"/>
    <w:rsid w:val="00606D67"/>
    <w:rsid w:val="00606D6C"/>
    <w:rsid w:val="00623CD9"/>
    <w:rsid w:val="00635B85"/>
    <w:rsid w:val="0063663B"/>
    <w:rsid w:val="0064103D"/>
    <w:rsid w:val="0064525C"/>
    <w:rsid w:val="00646DE5"/>
    <w:rsid w:val="00651E71"/>
    <w:rsid w:val="00660C33"/>
    <w:rsid w:val="006640F2"/>
    <w:rsid w:val="00673BDD"/>
    <w:rsid w:val="006764DC"/>
    <w:rsid w:val="006A2242"/>
    <w:rsid w:val="006A2950"/>
    <w:rsid w:val="006B5516"/>
    <w:rsid w:val="006C646C"/>
    <w:rsid w:val="006D269B"/>
    <w:rsid w:val="006E4FD5"/>
    <w:rsid w:val="00705810"/>
    <w:rsid w:val="00726BF6"/>
    <w:rsid w:val="00736EE3"/>
    <w:rsid w:val="0074504E"/>
    <w:rsid w:val="0074702E"/>
    <w:rsid w:val="00750764"/>
    <w:rsid w:val="00752FD0"/>
    <w:rsid w:val="0076132A"/>
    <w:rsid w:val="0078023A"/>
    <w:rsid w:val="007A2387"/>
    <w:rsid w:val="007E2B79"/>
    <w:rsid w:val="0080623F"/>
    <w:rsid w:val="00813AF9"/>
    <w:rsid w:val="00820A8B"/>
    <w:rsid w:val="00831095"/>
    <w:rsid w:val="00834AE9"/>
    <w:rsid w:val="00870ABA"/>
    <w:rsid w:val="008844F8"/>
    <w:rsid w:val="00887EB7"/>
    <w:rsid w:val="008C1FF1"/>
    <w:rsid w:val="008C24A3"/>
    <w:rsid w:val="008F7E7F"/>
    <w:rsid w:val="00932719"/>
    <w:rsid w:val="0093745C"/>
    <w:rsid w:val="009402AD"/>
    <w:rsid w:val="00966D0A"/>
    <w:rsid w:val="00973CDD"/>
    <w:rsid w:val="0098043D"/>
    <w:rsid w:val="009B437D"/>
    <w:rsid w:val="009C431D"/>
    <w:rsid w:val="009D032C"/>
    <w:rsid w:val="009D1743"/>
    <w:rsid w:val="009D2F1E"/>
    <w:rsid w:val="009D36CD"/>
    <w:rsid w:val="009E1EDC"/>
    <w:rsid w:val="009F5281"/>
    <w:rsid w:val="009F5CC5"/>
    <w:rsid w:val="00A708F0"/>
    <w:rsid w:val="00A72B12"/>
    <w:rsid w:val="00A77E48"/>
    <w:rsid w:val="00A93DB4"/>
    <w:rsid w:val="00AC3382"/>
    <w:rsid w:val="00AC49F0"/>
    <w:rsid w:val="00AE2238"/>
    <w:rsid w:val="00AE6BCF"/>
    <w:rsid w:val="00AF249D"/>
    <w:rsid w:val="00AF60B2"/>
    <w:rsid w:val="00B05F99"/>
    <w:rsid w:val="00B20F8B"/>
    <w:rsid w:val="00B2140D"/>
    <w:rsid w:val="00B41A16"/>
    <w:rsid w:val="00B50A21"/>
    <w:rsid w:val="00B53A7E"/>
    <w:rsid w:val="00B53D40"/>
    <w:rsid w:val="00B811AC"/>
    <w:rsid w:val="00B93C46"/>
    <w:rsid w:val="00BC3D85"/>
    <w:rsid w:val="00BE7B5B"/>
    <w:rsid w:val="00C120E9"/>
    <w:rsid w:val="00C136C2"/>
    <w:rsid w:val="00C23AF8"/>
    <w:rsid w:val="00C269CA"/>
    <w:rsid w:val="00C355D8"/>
    <w:rsid w:val="00C373FC"/>
    <w:rsid w:val="00C4465F"/>
    <w:rsid w:val="00C610CB"/>
    <w:rsid w:val="00C6613D"/>
    <w:rsid w:val="00C77DB2"/>
    <w:rsid w:val="00C82743"/>
    <w:rsid w:val="00C8320B"/>
    <w:rsid w:val="00C84B2B"/>
    <w:rsid w:val="00C85B3B"/>
    <w:rsid w:val="00CA34A8"/>
    <w:rsid w:val="00CA4B69"/>
    <w:rsid w:val="00CA5F3A"/>
    <w:rsid w:val="00CC31A8"/>
    <w:rsid w:val="00CC4057"/>
    <w:rsid w:val="00CD25DE"/>
    <w:rsid w:val="00CD53F8"/>
    <w:rsid w:val="00CE1DCF"/>
    <w:rsid w:val="00CF75C8"/>
    <w:rsid w:val="00D0517D"/>
    <w:rsid w:val="00D423F0"/>
    <w:rsid w:val="00D50F61"/>
    <w:rsid w:val="00D57357"/>
    <w:rsid w:val="00D639CE"/>
    <w:rsid w:val="00D63FFE"/>
    <w:rsid w:val="00D66941"/>
    <w:rsid w:val="00D81ADC"/>
    <w:rsid w:val="00D91935"/>
    <w:rsid w:val="00DA1556"/>
    <w:rsid w:val="00DA1FD2"/>
    <w:rsid w:val="00DF17FA"/>
    <w:rsid w:val="00E05850"/>
    <w:rsid w:val="00E061AC"/>
    <w:rsid w:val="00E07E15"/>
    <w:rsid w:val="00E139B6"/>
    <w:rsid w:val="00E278B8"/>
    <w:rsid w:val="00E445D0"/>
    <w:rsid w:val="00E45718"/>
    <w:rsid w:val="00E55D96"/>
    <w:rsid w:val="00E6482D"/>
    <w:rsid w:val="00E6505D"/>
    <w:rsid w:val="00E72A1F"/>
    <w:rsid w:val="00E81870"/>
    <w:rsid w:val="00E92AA8"/>
    <w:rsid w:val="00EA4B48"/>
    <w:rsid w:val="00EC595A"/>
    <w:rsid w:val="00ED027B"/>
    <w:rsid w:val="00ED4605"/>
    <w:rsid w:val="00ED55DB"/>
    <w:rsid w:val="00EF6325"/>
    <w:rsid w:val="00F014F5"/>
    <w:rsid w:val="00F30BD1"/>
    <w:rsid w:val="00F63AF4"/>
    <w:rsid w:val="00F64509"/>
    <w:rsid w:val="00F71D40"/>
    <w:rsid w:val="00F93221"/>
    <w:rsid w:val="00FA01AD"/>
    <w:rsid w:val="00FD2072"/>
    <w:rsid w:val="00FF04FD"/>
    <w:rsid w:val="00FF200A"/>
    <w:rsid w:val="00FF45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48BD6"/>
  <w15:chartTrackingRefBased/>
  <w15:docId w15:val="{691A5648-D377-4B11-BA29-F911D333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C7D"/>
  </w:style>
  <w:style w:type="paragraph" w:styleId="Heading1">
    <w:name w:val="heading 1"/>
    <w:basedOn w:val="Normal"/>
    <w:next w:val="Normal"/>
    <w:link w:val="Heading1Char"/>
    <w:qFormat/>
    <w:rsid w:val="00E92AA8"/>
    <w:pPr>
      <w:widowControl w:val="0"/>
      <w:suppressAutoHyphens/>
      <w:autoSpaceDN w:val="0"/>
      <w:spacing w:after="0" w:line="240" w:lineRule="auto"/>
      <w:jc w:val="both"/>
      <w:textAlignment w:val="baseline"/>
      <w:outlineLvl w:val="0"/>
    </w:pPr>
    <w:rPr>
      <w:rFonts w:ascii="Times New Roman" w:eastAsia="Arial Unicode MS" w:hAnsi="Times New Roman" w:cs="Tahoma"/>
      <w:b/>
      <w:bCs/>
      <w:color w:val="C00000"/>
      <w:kern w:val="3"/>
      <w:sz w:val="28"/>
      <w:szCs w:val="28"/>
      <w:lang w:val="it-IT"/>
    </w:rPr>
  </w:style>
  <w:style w:type="paragraph" w:styleId="Heading2">
    <w:name w:val="heading 2"/>
    <w:basedOn w:val="Normal"/>
    <w:link w:val="Heading2Char"/>
    <w:unhideWhenUsed/>
    <w:qFormat/>
    <w:rsid w:val="00E92AA8"/>
    <w:pPr>
      <w:keepNext/>
      <w:spacing w:before="240" w:after="60" w:line="240" w:lineRule="auto"/>
      <w:contextualSpacing/>
      <w:jc w:val="both"/>
      <w:outlineLvl w:val="1"/>
    </w:pPr>
    <w:rPr>
      <w:rFonts w:ascii="Cambria" w:eastAsia="Times New Roman" w:hAnsi="Cambria" w:cs="Times New Roman"/>
      <w:b/>
      <w:bCs/>
      <w:i/>
      <w:iCs/>
      <w:sz w:val="28"/>
      <w:szCs w:val="28"/>
      <w:lang w:val="en-GB"/>
    </w:rPr>
  </w:style>
  <w:style w:type="paragraph" w:styleId="Heading3">
    <w:name w:val="heading 3"/>
    <w:basedOn w:val="Normal"/>
    <w:next w:val="Normal"/>
    <w:link w:val="Heading3Char"/>
    <w:qFormat/>
    <w:rsid w:val="00E92AA8"/>
    <w:pPr>
      <w:spacing w:after="0" w:line="360" w:lineRule="auto"/>
      <w:jc w:val="both"/>
      <w:outlineLvl w:val="2"/>
    </w:pPr>
    <w:rPr>
      <w:rFonts w:ascii="Times New Roman" w:eastAsia="Times New Roman" w:hAnsi="Times New Roman" w:cs="Times New Roman"/>
      <w:i/>
      <w:szCs w:val="20"/>
      <w:lang w:val="en-GB"/>
    </w:rPr>
  </w:style>
  <w:style w:type="paragraph" w:styleId="Heading4">
    <w:name w:val="heading 4"/>
    <w:basedOn w:val="Normal"/>
    <w:next w:val="Normal"/>
    <w:link w:val="Heading4Char"/>
    <w:qFormat/>
    <w:rsid w:val="00E92AA8"/>
    <w:pPr>
      <w:keepNext/>
      <w:pBdr>
        <w:top w:val="single" w:sz="4" w:space="1" w:color="auto" w:shadow="1"/>
        <w:left w:val="single" w:sz="4" w:space="4" w:color="auto" w:shadow="1"/>
        <w:bottom w:val="single" w:sz="4" w:space="1" w:color="auto" w:shadow="1"/>
        <w:right w:val="single" w:sz="4" w:space="4" w:color="auto" w:shadow="1"/>
      </w:pBdr>
      <w:spacing w:after="0" w:line="360" w:lineRule="auto"/>
      <w:jc w:val="center"/>
      <w:outlineLvl w:val="3"/>
    </w:pPr>
    <w:rPr>
      <w:rFonts w:ascii="Abadi MT Condensed Light" w:eastAsia="Times New Roman" w:hAnsi="Abadi MT Condensed Light" w:cs="Times New Roman"/>
      <w:b/>
      <w:sz w:val="24"/>
      <w:szCs w:val="20"/>
      <w:lang w:val="en-GB"/>
    </w:rPr>
  </w:style>
  <w:style w:type="paragraph" w:styleId="Heading5">
    <w:name w:val="heading 5"/>
    <w:basedOn w:val="Normal"/>
    <w:next w:val="Normal"/>
    <w:link w:val="Heading5Char"/>
    <w:qFormat/>
    <w:rsid w:val="00E92AA8"/>
    <w:pPr>
      <w:keepNext/>
      <w:pBdr>
        <w:top w:val="single" w:sz="4" w:space="1" w:color="auto" w:shadow="1"/>
        <w:left w:val="single" w:sz="4" w:space="4" w:color="auto" w:shadow="1"/>
        <w:bottom w:val="single" w:sz="4" w:space="1" w:color="auto" w:shadow="1"/>
        <w:right w:val="single" w:sz="4" w:space="4" w:color="auto" w:shadow="1"/>
      </w:pBdr>
      <w:spacing w:after="0" w:line="360" w:lineRule="auto"/>
      <w:jc w:val="center"/>
      <w:outlineLvl w:val="4"/>
    </w:pPr>
    <w:rPr>
      <w:rFonts w:ascii="Abadi MT Condensed Extra Bold" w:eastAsia="Times New Roman" w:hAnsi="Abadi MT Condensed Extra Bold" w:cs="Times New Roman"/>
      <w:smallCaps/>
      <w:sz w:val="28"/>
      <w:szCs w:val="20"/>
      <w:lang w:val="en-GB"/>
    </w:rPr>
  </w:style>
  <w:style w:type="paragraph" w:styleId="Heading6">
    <w:name w:val="heading 6"/>
    <w:basedOn w:val="Normal"/>
    <w:next w:val="Normal"/>
    <w:link w:val="Heading6Char"/>
    <w:uiPriority w:val="9"/>
    <w:unhideWhenUsed/>
    <w:qFormat/>
    <w:rsid w:val="00E92AA8"/>
    <w:pPr>
      <w:spacing w:before="240" w:after="60" w:line="240" w:lineRule="auto"/>
      <w:contextualSpacing/>
      <w:jc w:val="both"/>
      <w:outlineLvl w:val="5"/>
    </w:pPr>
    <w:rPr>
      <w:rFonts w:ascii="Calibri" w:eastAsia="Times New Roman" w:hAnsi="Calibri" w:cs="Arial"/>
      <w:b/>
      <w:bCs/>
      <w:lang w:val="en-GB"/>
    </w:rPr>
  </w:style>
  <w:style w:type="paragraph" w:styleId="Heading7">
    <w:name w:val="heading 7"/>
    <w:basedOn w:val="Normal"/>
    <w:next w:val="Normal"/>
    <w:link w:val="Heading7Char"/>
    <w:uiPriority w:val="9"/>
    <w:unhideWhenUsed/>
    <w:qFormat/>
    <w:rsid w:val="00E92AA8"/>
    <w:pPr>
      <w:spacing w:before="240" w:after="60" w:line="240" w:lineRule="auto"/>
      <w:contextualSpacing/>
      <w:jc w:val="both"/>
      <w:outlineLvl w:val="6"/>
    </w:pPr>
    <w:rPr>
      <w:rFonts w:ascii="Calibri" w:eastAsia="Times New Roman" w:hAnsi="Calibri" w:cs="Times New Roman"/>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
    <w:basedOn w:val="Normal"/>
    <w:link w:val="FootnoteTextChar"/>
    <w:unhideWhenUsed/>
    <w:rsid w:val="004C7C7D"/>
    <w:pPr>
      <w:spacing w:beforeAutospacing="1" w:after="0" w:afterAutospacing="1" w:line="240" w:lineRule="auto"/>
    </w:pPr>
    <w:rPr>
      <w:rFonts w:ascii="Calibri" w:eastAsia="Calibri" w:hAnsi="Calibri" w:cs="Times New Roman"/>
      <w:sz w:val="20"/>
      <w:szCs w:val="20"/>
      <w:lang w:val="it-IT"/>
    </w:rPr>
  </w:style>
  <w:style w:type="character" w:customStyle="1" w:styleId="FootnoteTextChar">
    <w:name w:val="Footnote Text Char"/>
    <w:aliases w:val="Footnote Text Char Char Char Char,Footnote Text Char Char Char1"/>
    <w:basedOn w:val="DefaultParagraphFont"/>
    <w:link w:val="FootnoteText"/>
    <w:rsid w:val="004C7C7D"/>
    <w:rPr>
      <w:rFonts w:ascii="Calibri" w:eastAsia="Calibri" w:hAnsi="Calibri" w:cs="Times New Roman"/>
      <w:sz w:val="20"/>
      <w:szCs w:val="20"/>
      <w:lang w:val="it-IT"/>
    </w:rPr>
  </w:style>
  <w:style w:type="character" w:styleId="FootnoteReference">
    <w:name w:val="footnote reference"/>
    <w:basedOn w:val="DefaultParagraphFont"/>
    <w:unhideWhenUsed/>
    <w:qFormat/>
    <w:rsid w:val="004C7C7D"/>
    <w:rPr>
      <w:vertAlign w:val="superscript"/>
    </w:rPr>
  </w:style>
  <w:style w:type="paragraph" w:styleId="ListParagraph">
    <w:name w:val="List Paragraph"/>
    <w:basedOn w:val="Normal"/>
    <w:uiPriority w:val="34"/>
    <w:qFormat/>
    <w:rsid w:val="004C7C7D"/>
    <w:pPr>
      <w:ind w:left="720"/>
      <w:contextualSpacing/>
    </w:pPr>
  </w:style>
  <w:style w:type="paragraph" w:styleId="Header">
    <w:name w:val="header"/>
    <w:basedOn w:val="Normal"/>
    <w:link w:val="HeaderChar"/>
    <w:uiPriority w:val="99"/>
    <w:unhideWhenUsed/>
    <w:rsid w:val="00AE6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BCF"/>
  </w:style>
  <w:style w:type="paragraph" w:styleId="Footer">
    <w:name w:val="footer"/>
    <w:basedOn w:val="Normal"/>
    <w:link w:val="FooterChar"/>
    <w:uiPriority w:val="99"/>
    <w:unhideWhenUsed/>
    <w:rsid w:val="00AE6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BCF"/>
  </w:style>
  <w:style w:type="character" w:styleId="Emphasis">
    <w:name w:val="Emphasis"/>
    <w:basedOn w:val="DefaultParagraphFont"/>
    <w:uiPriority w:val="20"/>
    <w:qFormat/>
    <w:rsid w:val="00606D67"/>
    <w:rPr>
      <w:i/>
      <w:iCs/>
    </w:rPr>
  </w:style>
  <w:style w:type="character" w:styleId="Hyperlink">
    <w:name w:val="Hyperlink"/>
    <w:basedOn w:val="DefaultParagraphFont"/>
    <w:uiPriority w:val="99"/>
    <w:unhideWhenUsed/>
    <w:rsid w:val="00606D67"/>
    <w:rPr>
      <w:color w:val="0000FF"/>
      <w:u w:val="single"/>
    </w:rPr>
  </w:style>
  <w:style w:type="character" w:styleId="Strong">
    <w:name w:val="Strong"/>
    <w:basedOn w:val="DefaultParagraphFont"/>
    <w:uiPriority w:val="22"/>
    <w:qFormat/>
    <w:rsid w:val="00606D67"/>
    <w:rPr>
      <w:b/>
      <w:bCs/>
    </w:rPr>
  </w:style>
  <w:style w:type="paragraph" w:customStyle="1" w:styleId="Paragraph">
    <w:name w:val="Paragraph"/>
    <w:rsid w:val="00EC595A"/>
    <w:pPr>
      <w:pBdr>
        <w:top w:val="nil"/>
        <w:left w:val="nil"/>
        <w:bottom w:val="nil"/>
        <w:right w:val="nil"/>
        <w:between w:val="nil"/>
        <w:bar w:val="nil"/>
      </w:pBdr>
      <w:suppressAutoHyphens/>
      <w:spacing w:after="0" w:line="500" w:lineRule="atLeast"/>
      <w:ind w:firstLine="600"/>
    </w:pPr>
    <w:rPr>
      <w:rFonts w:ascii="Times New Roman" w:eastAsia="Arial Unicode MS" w:hAnsi="Times New Roman" w:cs="Arial Unicode MS"/>
      <w:color w:val="000000"/>
      <w:sz w:val="24"/>
      <w:szCs w:val="24"/>
      <w:u w:color="000000"/>
      <w:bdr w:val="nil"/>
    </w:rPr>
  </w:style>
  <w:style w:type="character" w:customStyle="1" w:styleId="UnresolvedMention1">
    <w:name w:val="Unresolved Mention1"/>
    <w:basedOn w:val="DefaultParagraphFont"/>
    <w:uiPriority w:val="99"/>
    <w:semiHidden/>
    <w:unhideWhenUsed/>
    <w:rsid w:val="00EC595A"/>
    <w:rPr>
      <w:color w:val="605E5C"/>
      <w:shd w:val="clear" w:color="auto" w:fill="E1DFDD"/>
    </w:rPr>
  </w:style>
  <w:style w:type="paragraph" w:customStyle="1" w:styleId="Body">
    <w:name w:val="Body"/>
    <w:rsid w:val="00EC595A"/>
    <w:pPr>
      <w:pBdr>
        <w:top w:val="nil"/>
        <w:left w:val="nil"/>
        <w:bottom w:val="nil"/>
        <w:right w:val="nil"/>
        <w:between w:val="nil"/>
        <w:bar w:val="nil"/>
      </w:pBdr>
      <w:spacing w:after="0" w:line="240" w:lineRule="auto"/>
    </w:pPr>
    <w:rPr>
      <w:rFonts w:ascii="Palatino" w:eastAsia="Arial Unicode MS" w:hAnsi="Palatino" w:cs="Arial Unicode MS"/>
      <w:color w:val="000000"/>
      <w:sz w:val="24"/>
      <w:szCs w:val="24"/>
      <w:u w:color="000000"/>
      <w:bdr w:val="nil"/>
      <w14:textOutline w14:w="0" w14:cap="flat" w14:cmpd="sng" w14:algn="ctr">
        <w14:noFill/>
        <w14:prstDash w14:val="solid"/>
        <w14:bevel/>
      </w14:textOutline>
    </w:rPr>
  </w:style>
  <w:style w:type="character" w:customStyle="1" w:styleId="Heading1Char">
    <w:name w:val="Heading 1 Char"/>
    <w:basedOn w:val="DefaultParagraphFont"/>
    <w:link w:val="Heading1"/>
    <w:rsid w:val="00E92AA8"/>
    <w:rPr>
      <w:rFonts w:ascii="Times New Roman" w:eastAsia="Arial Unicode MS" w:hAnsi="Times New Roman" w:cs="Tahoma"/>
      <w:b/>
      <w:bCs/>
      <w:color w:val="C00000"/>
      <w:kern w:val="3"/>
      <w:sz w:val="28"/>
      <w:szCs w:val="28"/>
      <w:lang w:val="it-IT"/>
    </w:rPr>
  </w:style>
  <w:style w:type="character" w:customStyle="1" w:styleId="Heading2Char">
    <w:name w:val="Heading 2 Char"/>
    <w:basedOn w:val="DefaultParagraphFont"/>
    <w:link w:val="Heading2"/>
    <w:rsid w:val="00E92AA8"/>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rsid w:val="00E92AA8"/>
    <w:rPr>
      <w:rFonts w:ascii="Times New Roman" w:eastAsia="Times New Roman" w:hAnsi="Times New Roman" w:cs="Times New Roman"/>
      <w:i/>
      <w:szCs w:val="20"/>
      <w:lang w:val="en-GB"/>
    </w:rPr>
  </w:style>
  <w:style w:type="character" w:customStyle="1" w:styleId="Heading4Char">
    <w:name w:val="Heading 4 Char"/>
    <w:basedOn w:val="DefaultParagraphFont"/>
    <w:link w:val="Heading4"/>
    <w:rsid w:val="00E92AA8"/>
    <w:rPr>
      <w:rFonts w:ascii="Abadi MT Condensed Light" w:eastAsia="Times New Roman" w:hAnsi="Abadi MT Condensed Light" w:cs="Times New Roman"/>
      <w:b/>
      <w:sz w:val="24"/>
      <w:szCs w:val="20"/>
      <w:lang w:val="en-GB"/>
    </w:rPr>
  </w:style>
  <w:style w:type="character" w:customStyle="1" w:styleId="Heading5Char">
    <w:name w:val="Heading 5 Char"/>
    <w:basedOn w:val="DefaultParagraphFont"/>
    <w:link w:val="Heading5"/>
    <w:rsid w:val="00E92AA8"/>
    <w:rPr>
      <w:rFonts w:ascii="Abadi MT Condensed Extra Bold" w:eastAsia="Times New Roman" w:hAnsi="Abadi MT Condensed Extra Bold" w:cs="Times New Roman"/>
      <w:smallCaps/>
      <w:sz w:val="28"/>
      <w:szCs w:val="20"/>
      <w:lang w:val="en-GB"/>
    </w:rPr>
  </w:style>
  <w:style w:type="character" w:customStyle="1" w:styleId="Heading6Char">
    <w:name w:val="Heading 6 Char"/>
    <w:basedOn w:val="DefaultParagraphFont"/>
    <w:link w:val="Heading6"/>
    <w:uiPriority w:val="9"/>
    <w:rsid w:val="00E92AA8"/>
    <w:rPr>
      <w:rFonts w:ascii="Calibri" w:eastAsia="Times New Roman" w:hAnsi="Calibri" w:cs="Arial"/>
      <w:b/>
      <w:bCs/>
      <w:lang w:val="en-GB"/>
    </w:rPr>
  </w:style>
  <w:style w:type="character" w:customStyle="1" w:styleId="Heading7Char">
    <w:name w:val="Heading 7 Char"/>
    <w:basedOn w:val="DefaultParagraphFont"/>
    <w:link w:val="Heading7"/>
    <w:uiPriority w:val="9"/>
    <w:rsid w:val="00E92AA8"/>
    <w:rPr>
      <w:rFonts w:ascii="Calibri" w:eastAsia="Times New Roman" w:hAnsi="Calibri" w:cs="Times New Roman"/>
      <w:sz w:val="24"/>
      <w:szCs w:val="24"/>
      <w:lang w:val="en-GB"/>
    </w:rPr>
  </w:style>
  <w:style w:type="numbering" w:customStyle="1" w:styleId="NoList1">
    <w:name w:val="No List1"/>
    <w:next w:val="NoList"/>
    <w:uiPriority w:val="99"/>
    <w:semiHidden/>
    <w:unhideWhenUsed/>
    <w:rsid w:val="00E92AA8"/>
  </w:style>
  <w:style w:type="paragraph" w:customStyle="1" w:styleId="Style1">
    <w:name w:val="Style1"/>
    <w:basedOn w:val="Normal"/>
    <w:qFormat/>
    <w:rsid w:val="00E92AA8"/>
    <w:pPr>
      <w:spacing w:after="0" w:line="240" w:lineRule="auto"/>
      <w:jc w:val="both"/>
    </w:pPr>
    <w:rPr>
      <w:rFonts w:ascii="Times New Roman" w:eastAsia="Calibri" w:hAnsi="Times New Roman" w:cs="Times New Roman"/>
      <w:szCs w:val="24"/>
      <w:lang w:val="en-GB"/>
    </w:rPr>
  </w:style>
  <w:style w:type="paragraph" w:customStyle="1" w:styleId="Style2">
    <w:name w:val="Style2"/>
    <w:basedOn w:val="Normal"/>
    <w:qFormat/>
    <w:rsid w:val="00E92AA8"/>
    <w:pPr>
      <w:spacing w:after="0" w:line="240" w:lineRule="auto"/>
      <w:contextualSpacing/>
      <w:jc w:val="both"/>
    </w:pPr>
    <w:rPr>
      <w:rFonts w:ascii="Times New Roman" w:eastAsia="Calibri" w:hAnsi="Times New Roman" w:cs="Times New Roman"/>
      <w:sz w:val="24"/>
      <w:szCs w:val="24"/>
      <w:lang w:val="en-GB"/>
    </w:rPr>
  </w:style>
  <w:style w:type="paragraph" w:customStyle="1" w:styleId="QUOTEDMS">
    <w:name w:val="QUOTE DMS"/>
    <w:basedOn w:val="Normal"/>
    <w:qFormat/>
    <w:rsid w:val="00E92AA8"/>
    <w:pPr>
      <w:autoSpaceDE w:val="0"/>
      <w:autoSpaceDN w:val="0"/>
      <w:adjustRightInd w:val="0"/>
      <w:spacing w:after="0" w:line="240" w:lineRule="auto"/>
      <w:ind w:left="720" w:right="1106"/>
    </w:pPr>
    <w:rPr>
      <w:rFonts w:ascii="Times New Roman" w:eastAsia="Calibri" w:hAnsi="Times New Roman" w:cs="Times New Roman"/>
      <w:sz w:val="20"/>
      <w:szCs w:val="20"/>
      <w:lang w:val="en-GB" w:eastAsia="en-GB"/>
    </w:rPr>
  </w:style>
  <w:style w:type="paragraph" w:customStyle="1" w:styleId="FootnotetextChar0">
    <w:name w:val="Footnote text Char"/>
    <w:basedOn w:val="FootnoteText"/>
    <w:link w:val="FootnotetextCharChar"/>
    <w:rsid w:val="00E92AA8"/>
    <w:pPr>
      <w:spacing w:beforeAutospacing="0" w:afterAutospacing="0"/>
      <w:ind w:right="26"/>
      <w:contextualSpacing/>
      <w:jc w:val="both"/>
    </w:pPr>
    <w:rPr>
      <w:rFonts w:ascii="Times New Roman" w:eastAsia="Times New Roman" w:hAnsi="Times New Roman"/>
      <w:lang w:val="en-GB" w:eastAsia="en-GB"/>
    </w:rPr>
  </w:style>
  <w:style w:type="character" w:customStyle="1" w:styleId="FootnotetextCharChar">
    <w:name w:val="Footnote text Char Char"/>
    <w:link w:val="FootnotetextChar0"/>
    <w:rsid w:val="00E92AA8"/>
    <w:rPr>
      <w:rFonts w:ascii="Times New Roman" w:eastAsia="Times New Roman" w:hAnsi="Times New Roman" w:cs="Times New Roman"/>
      <w:sz w:val="20"/>
      <w:szCs w:val="20"/>
      <w:lang w:val="en-GB" w:eastAsia="en-GB"/>
    </w:rPr>
  </w:style>
  <w:style w:type="numbering" w:customStyle="1" w:styleId="NoList11">
    <w:name w:val="No List11"/>
    <w:next w:val="NoList"/>
    <w:uiPriority w:val="99"/>
    <w:semiHidden/>
    <w:unhideWhenUsed/>
    <w:rsid w:val="00E92AA8"/>
  </w:style>
  <w:style w:type="paragraph" w:customStyle="1" w:styleId="Heading-Calibri">
    <w:name w:val="Heading - Calibri"/>
    <w:basedOn w:val="Heading1"/>
    <w:qFormat/>
    <w:rsid w:val="00E92AA8"/>
    <w:pPr>
      <w:spacing w:line="276" w:lineRule="auto"/>
    </w:pPr>
    <w:rPr>
      <w:rFonts w:ascii="Calibri" w:hAnsi="Calibri"/>
      <w:color w:val="auto"/>
      <w:kern w:val="32"/>
      <w:lang w:eastAsia="en-GB" w:bidi="he-IL"/>
    </w:rPr>
  </w:style>
  <w:style w:type="paragraph" w:styleId="Quote">
    <w:name w:val="Quote"/>
    <w:basedOn w:val="Normal"/>
    <w:next w:val="Normal"/>
    <w:link w:val="QuoteChar"/>
    <w:uiPriority w:val="29"/>
    <w:qFormat/>
    <w:rsid w:val="00E92AA8"/>
    <w:pPr>
      <w:spacing w:after="0" w:line="240" w:lineRule="auto"/>
      <w:ind w:left="1440" w:right="1106"/>
      <w:contextualSpacing/>
      <w:jc w:val="both"/>
    </w:pPr>
    <w:rPr>
      <w:rFonts w:ascii="Times New Roman" w:eastAsia="Times New Roman" w:hAnsi="Times New Roman" w:cs="Times New Roman"/>
      <w:lang w:val="en-GB" w:bidi="sa-IN"/>
    </w:rPr>
  </w:style>
  <w:style w:type="character" w:customStyle="1" w:styleId="QuoteChar">
    <w:name w:val="Quote Char"/>
    <w:basedOn w:val="DefaultParagraphFont"/>
    <w:link w:val="Quote"/>
    <w:uiPriority w:val="29"/>
    <w:rsid w:val="00E92AA8"/>
    <w:rPr>
      <w:rFonts w:ascii="Times New Roman" w:eastAsia="Times New Roman" w:hAnsi="Times New Roman" w:cs="Times New Roman"/>
      <w:lang w:val="en-GB" w:bidi="sa-IN"/>
    </w:rPr>
  </w:style>
  <w:style w:type="paragraph" w:customStyle="1" w:styleId="Heading">
    <w:name w:val="Heading"/>
    <w:basedOn w:val="Heading1"/>
    <w:qFormat/>
    <w:rsid w:val="00E92AA8"/>
    <w:pPr>
      <w:spacing w:line="480" w:lineRule="auto"/>
    </w:pPr>
    <w:rPr>
      <w:rFonts w:ascii="Arial Narrow" w:hAnsi="Arial Narrow" w:cs="Aharoni"/>
      <w:sz w:val="24"/>
      <w:szCs w:val="24"/>
      <w:lang w:eastAsia="en-GB"/>
    </w:rPr>
  </w:style>
  <w:style w:type="paragraph" w:customStyle="1" w:styleId="References-other">
    <w:name w:val="References-other"/>
    <w:basedOn w:val="Normal"/>
    <w:qFormat/>
    <w:rsid w:val="00E92AA8"/>
    <w:pPr>
      <w:spacing w:after="0" w:line="240" w:lineRule="auto"/>
      <w:ind w:left="426" w:hanging="426"/>
      <w:contextualSpacing/>
      <w:jc w:val="both"/>
    </w:pPr>
    <w:rPr>
      <w:rFonts w:ascii="Times New Roman" w:eastAsia="Times New Roman" w:hAnsi="Times New Roman" w:cs="Times New Roman"/>
      <w:lang w:val="en-GB" w:eastAsia="en-GB"/>
    </w:rPr>
  </w:style>
  <w:style w:type="paragraph" w:customStyle="1" w:styleId="Quote1">
    <w:name w:val="Quote1"/>
    <w:basedOn w:val="Normal"/>
    <w:rsid w:val="00E92AA8"/>
    <w:pPr>
      <w:spacing w:after="0" w:line="240" w:lineRule="auto"/>
      <w:ind w:left="1134" w:right="941" w:firstLine="301"/>
      <w:jc w:val="both"/>
    </w:pPr>
    <w:rPr>
      <w:rFonts w:ascii="Times New Roman" w:eastAsia="Times New Roman" w:hAnsi="Times New Roman" w:cs="Times New Roman"/>
      <w:sz w:val="20"/>
      <w:szCs w:val="20"/>
      <w:lang w:val="en-GB" w:eastAsia="en-GB"/>
    </w:rPr>
  </w:style>
  <w:style w:type="character" w:customStyle="1" w:styleId="FootnoteText1">
    <w:name w:val="Footnote Text1"/>
    <w:rsid w:val="00E92AA8"/>
    <w:rPr>
      <w:rFonts w:ascii="Times New Roman" w:eastAsia="Times" w:hAnsi="Times New Roman"/>
      <w:sz w:val="20"/>
      <w:lang w:val="en-US" w:eastAsia="en-GB" w:bidi="ar-SA"/>
    </w:rPr>
  </w:style>
  <w:style w:type="paragraph" w:customStyle="1" w:styleId="Epigraph">
    <w:name w:val="Epigraph"/>
    <w:basedOn w:val="Normal"/>
    <w:qFormat/>
    <w:rsid w:val="00E92AA8"/>
    <w:pPr>
      <w:spacing w:after="0" w:line="240" w:lineRule="auto"/>
      <w:ind w:left="4536" w:right="-46"/>
      <w:contextualSpacing/>
    </w:pPr>
    <w:rPr>
      <w:rFonts w:ascii="Times New Roman" w:eastAsia="Times" w:hAnsi="Times New Roman" w:cs="Times New Roman"/>
      <w:sz w:val="20"/>
      <w:lang w:val="en-GB"/>
    </w:rPr>
  </w:style>
  <w:style w:type="paragraph" w:styleId="CommentText">
    <w:name w:val="annotation text"/>
    <w:basedOn w:val="Normal"/>
    <w:link w:val="CommentTextChar"/>
    <w:uiPriority w:val="99"/>
    <w:semiHidden/>
    <w:rsid w:val="00E92AA8"/>
    <w:pPr>
      <w:spacing w:after="0" w:line="240" w:lineRule="auto"/>
      <w:contextualSpacing/>
      <w:jc w:val="both"/>
    </w:pPr>
    <w:rPr>
      <w:rFonts w:ascii="Times New Roman" w:eastAsia="Calibri"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E92AA8"/>
    <w:rPr>
      <w:rFonts w:ascii="Times New Roman" w:eastAsia="Calibri" w:hAnsi="Times New Roman" w:cs="Times New Roman"/>
      <w:sz w:val="20"/>
      <w:szCs w:val="20"/>
      <w:lang w:val="en-GB"/>
    </w:rPr>
  </w:style>
  <w:style w:type="paragraph" w:styleId="Title">
    <w:name w:val="Title"/>
    <w:basedOn w:val="Normal"/>
    <w:next w:val="Normal"/>
    <w:link w:val="TitleChar"/>
    <w:qFormat/>
    <w:rsid w:val="00E92AA8"/>
    <w:pPr>
      <w:spacing w:before="240" w:after="60" w:line="240" w:lineRule="auto"/>
      <w:contextualSpacing/>
      <w:jc w:val="center"/>
      <w:outlineLvl w:val="0"/>
    </w:pPr>
    <w:rPr>
      <w:rFonts w:ascii="Cambria" w:eastAsia="Times New Roman" w:hAnsi="Cambria" w:cs="Times New Roman"/>
      <w:b/>
      <w:bCs/>
      <w:kern w:val="28"/>
      <w:sz w:val="32"/>
      <w:szCs w:val="32"/>
      <w:lang w:val="en-GB"/>
    </w:rPr>
  </w:style>
  <w:style w:type="character" w:customStyle="1" w:styleId="TitleChar">
    <w:name w:val="Title Char"/>
    <w:basedOn w:val="DefaultParagraphFont"/>
    <w:link w:val="Title"/>
    <w:rsid w:val="00E92AA8"/>
    <w:rPr>
      <w:rFonts w:ascii="Cambria" w:eastAsia="Times New Roman" w:hAnsi="Cambria" w:cs="Times New Roman"/>
      <w:b/>
      <w:bCs/>
      <w:kern w:val="28"/>
      <w:sz w:val="32"/>
      <w:szCs w:val="32"/>
      <w:lang w:val="en-GB"/>
    </w:rPr>
  </w:style>
  <w:style w:type="paragraph" w:customStyle="1" w:styleId="QuoteDMSCharChar">
    <w:name w:val="Quote DMS Char Char"/>
    <w:basedOn w:val="Normal"/>
    <w:qFormat/>
    <w:rsid w:val="00E92AA8"/>
    <w:pPr>
      <w:spacing w:after="0" w:line="240" w:lineRule="auto"/>
      <w:ind w:left="993" w:right="946" w:firstLine="283"/>
      <w:jc w:val="both"/>
    </w:pPr>
    <w:rPr>
      <w:rFonts w:ascii="Times New Roman" w:eastAsia="Times New Roman" w:hAnsi="Times New Roman" w:cs="Times New Roman"/>
      <w:color w:val="000000"/>
      <w:kern w:val="28"/>
      <w:sz w:val="20"/>
      <w:szCs w:val="20"/>
      <w:lang w:eastAsia="en-GB"/>
    </w:rPr>
  </w:style>
  <w:style w:type="paragraph" w:customStyle="1" w:styleId="quotedms0">
    <w:name w:val="quote dms"/>
    <w:basedOn w:val="Normal"/>
    <w:semiHidden/>
    <w:qFormat/>
    <w:rsid w:val="00E92AA8"/>
    <w:pPr>
      <w:spacing w:after="0" w:line="240" w:lineRule="auto"/>
      <w:ind w:left="1134" w:right="946"/>
      <w:contextualSpacing/>
      <w:jc w:val="both"/>
    </w:pPr>
    <w:rPr>
      <w:rFonts w:ascii="Times New Roman" w:eastAsia="Calibri" w:hAnsi="Times New Roman" w:cs="Times New Roman"/>
      <w:sz w:val="24"/>
      <w:lang w:val="en-GB"/>
    </w:rPr>
  </w:style>
  <w:style w:type="character" w:customStyle="1" w:styleId="f1">
    <w:name w:val="f1"/>
    <w:rsid w:val="00E92AA8"/>
    <w:rPr>
      <w:color w:val="767676"/>
    </w:rPr>
  </w:style>
  <w:style w:type="paragraph" w:customStyle="1" w:styleId="StylequoteLinespacing15lines">
    <w:name w:val="Style quote + Line spacing:  1.5 lines"/>
    <w:basedOn w:val="Normal"/>
    <w:semiHidden/>
    <w:rsid w:val="00E92AA8"/>
    <w:pPr>
      <w:spacing w:after="0" w:line="240" w:lineRule="auto"/>
      <w:ind w:left="820" w:right="940" w:firstLine="300"/>
      <w:jc w:val="both"/>
    </w:pPr>
    <w:rPr>
      <w:rFonts w:ascii="Palatino Linotype" w:eastAsia="Times New Roman" w:hAnsi="Palatino Linotype" w:cs="Times New Roman"/>
      <w:noProof/>
      <w:sz w:val="18"/>
      <w:szCs w:val="20"/>
      <w:lang w:val="en-GB" w:eastAsia="en-GB"/>
    </w:rPr>
  </w:style>
  <w:style w:type="character" w:customStyle="1" w:styleId="StyleFootnoteReference11pt">
    <w:name w:val="Style Footnote Reference + 11 pt"/>
    <w:semiHidden/>
    <w:rsid w:val="00E92AA8"/>
    <w:rPr>
      <w:rFonts w:ascii="Times New Roman" w:hAnsi="Times New Roman"/>
      <w:position w:val="6"/>
      <w:sz w:val="16"/>
      <w:vertAlign w:val="superscript"/>
    </w:rPr>
  </w:style>
  <w:style w:type="paragraph" w:customStyle="1" w:styleId="Biblioref-other">
    <w:name w:val="Biblio ref-other"/>
    <w:basedOn w:val="Normal"/>
    <w:link w:val="Biblioref-otherChar"/>
    <w:rsid w:val="00E92AA8"/>
    <w:pPr>
      <w:spacing w:after="0" w:line="240" w:lineRule="auto"/>
      <w:ind w:hanging="567"/>
      <w:jc w:val="both"/>
    </w:pPr>
    <w:rPr>
      <w:rFonts w:ascii="Palatino Linotype" w:eastAsia="Times New Roman" w:hAnsi="Palatino Linotype" w:cs="Times New Roman"/>
      <w:noProof/>
      <w:szCs w:val="20"/>
      <w:lang w:val="en-GB" w:eastAsia="en-GB" w:bidi="he-IL"/>
    </w:rPr>
  </w:style>
  <w:style w:type="character" w:customStyle="1" w:styleId="Biblioref-otherChar">
    <w:name w:val="Biblio ref-other Char"/>
    <w:link w:val="Biblioref-other"/>
    <w:rsid w:val="00E92AA8"/>
    <w:rPr>
      <w:rFonts w:ascii="Palatino Linotype" w:eastAsia="Times New Roman" w:hAnsi="Palatino Linotype" w:cs="Times New Roman"/>
      <w:noProof/>
      <w:szCs w:val="20"/>
      <w:lang w:val="en-GB" w:eastAsia="en-GB" w:bidi="he-IL"/>
    </w:rPr>
  </w:style>
  <w:style w:type="paragraph" w:customStyle="1" w:styleId="Biblioref-otherworks">
    <w:name w:val="Biblio ref-other works"/>
    <w:basedOn w:val="Normal"/>
    <w:rsid w:val="00E92AA8"/>
    <w:pPr>
      <w:spacing w:after="0" w:line="240" w:lineRule="auto"/>
      <w:ind w:hanging="567"/>
      <w:contextualSpacing/>
    </w:pPr>
    <w:rPr>
      <w:rFonts w:ascii="Times New Roman" w:eastAsia="Times New Roman" w:hAnsi="Times New Roman" w:cs="Times New Roman"/>
      <w:noProof/>
      <w:szCs w:val="20"/>
      <w:lang w:val="en-GB" w:eastAsia="en-GB"/>
    </w:rPr>
  </w:style>
  <w:style w:type="paragraph" w:customStyle="1" w:styleId="Biblioref-Wittworks">
    <w:name w:val="Biblio ref - Witt works"/>
    <w:basedOn w:val="Normal"/>
    <w:rsid w:val="00E92AA8"/>
    <w:pPr>
      <w:tabs>
        <w:tab w:val="left" w:pos="1120"/>
      </w:tabs>
      <w:spacing w:after="0" w:line="240" w:lineRule="auto"/>
      <w:ind w:left="1123" w:hanging="1123"/>
      <w:jc w:val="both"/>
    </w:pPr>
    <w:rPr>
      <w:rFonts w:ascii="Times New Roman" w:eastAsia="Times New Roman" w:hAnsi="Times New Roman" w:cs="Times New Roman"/>
      <w:sz w:val="24"/>
      <w:szCs w:val="20"/>
      <w:lang w:val="en-GB" w:eastAsia="en-GB"/>
    </w:rPr>
  </w:style>
  <w:style w:type="paragraph" w:customStyle="1" w:styleId="Quote-DMS">
    <w:name w:val="Quote-DMS"/>
    <w:basedOn w:val="Normal"/>
    <w:qFormat/>
    <w:rsid w:val="00E92AA8"/>
    <w:pPr>
      <w:spacing w:after="0" w:line="240" w:lineRule="atLeast"/>
      <w:ind w:left="1134" w:right="1371"/>
      <w:contextualSpacing/>
      <w:jc w:val="both"/>
    </w:pPr>
    <w:rPr>
      <w:rFonts w:ascii="Times New Roman" w:eastAsia="Times New Roman" w:hAnsi="Times New Roman" w:cs="Geneva"/>
      <w:lang w:val="en-GB" w:eastAsia="en-GB" w:bidi="sa-IN"/>
    </w:rPr>
  </w:style>
  <w:style w:type="paragraph" w:styleId="BalloonText">
    <w:name w:val="Balloon Text"/>
    <w:basedOn w:val="Normal"/>
    <w:link w:val="BalloonTextChar"/>
    <w:uiPriority w:val="99"/>
    <w:semiHidden/>
    <w:unhideWhenUsed/>
    <w:rsid w:val="00E92AA8"/>
    <w:pPr>
      <w:spacing w:after="0" w:line="240" w:lineRule="auto"/>
      <w:contextualSpacing/>
      <w:jc w:val="both"/>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E92AA8"/>
    <w:rPr>
      <w:rFonts w:ascii="Tahoma" w:eastAsia="Calibri" w:hAnsi="Tahoma" w:cs="Tahoma"/>
      <w:sz w:val="16"/>
      <w:szCs w:val="16"/>
      <w:lang w:val="en-GB"/>
    </w:rPr>
  </w:style>
  <w:style w:type="character" w:customStyle="1" w:styleId="EndnoteTextChar">
    <w:name w:val="Endnote Text Char"/>
    <w:link w:val="EndnoteText"/>
    <w:semiHidden/>
    <w:rsid w:val="00E92AA8"/>
    <w:rPr>
      <w:lang w:bidi="he-IL"/>
    </w:rPr>
  </w:style>
  <w:style w:type="paragraph" w:customStyle="1" w:styleId="EndnoteText1">
    <w:name w:val="Endnote Text1"/>
    <w:basedOn w:val="Normal"/>
    <w:next w:val="EndnoteText"/>
    <w:semiHidden/>
    <w:unhideWhenUsed/>
    <w:rsid w:val="00E92AA8"/>
    <w:pPr>
      <w:spacing w:after="0" w:line="240" w:lineRule="auto"/>
      <w:contextualSpacing/>
      <w:jc w:val="both"/>
    </w:pPr>
    <w:rPr>
      <w:rFonts w:eastAsia="Calibri"/>
      <w:lang w:val="en-GB" w:bidi="he-IL"/>
    </w:rPr>
  </w:style>
  <w:style w:type="character" w:customStyle="1" w:styleId="EndnoteTextChar1">
    <w:name w:val="Endnote Text Char1"/>
    <w:basedOn w:val="DefaultParagraphFont"/>
    <w:uiPriority w:val="99"/>
    <w:semiHidden/>
    <w:rsid w:val="00E92AA8"/>
    <w:rPr>
      <w:rFonts w:ascii="Times New Roman" w:hAnsi="Times New Roman" w:cs="Times New Roman"/>
      <w:sz w:val="20"/>
      <w:szCs w:val="20"/>
    </w:rPr>
  </w:style>
  <w:style w:type="character" w:styleId="EndnoteReference">
    <w:name w:val="endnote reference"/>
    <w:rsid w:val="00E92AA8"/>
    <w:rPr>
      <w:vertAlign w:val="superscript"/>
    </w:rPr>
  </w:style>
  <w:style w:type="paragraph" w:customStyle="1" w:styleId="Footnotetext-DMS">
    <w:name w:val="Footnote text-DMS"/>
    <w:basedOn w:val="Normal"/>
    <w:qFormat/>
    <w:rsid w:val="00E92AA8"/>
    <w:pPr>
      <w:spacing w:after="0" w:line="240" w:lineRule="atLeast"/>
      <w:ind w:right="-20"/>
      <w:contextualSpacing/>
      <w:jc w:val="both"/>
    </w:pPr>
    <w:rPr>
      <w:rFonts w:ascii="Times New Roman" w:eastAsia="Calibri" w:hAnsi="Times New Roman" w:cs="Times New Roman"/>
      <w:sz w:val="20"/>
      <w:szCs w:val="20"/>
      <w:lang w:val="en-GB"/>
    </w:rPr>
  </w:style>
  <w:style w:type="paragraph" w:customStyle="1" w:styleId="Default">
    <w:name w:val="Default"/>
    <w:rsid w:val="00E92AA8"/>
    <w:pPr>
      <w:autoSpaceDE w:val="0"/>
      <w:autoSpaceDN w:val="0"/>
      <w:adjustRightInd w:val="0"/>
      <w:spacing w:after="0" w:line="240" w:lineRule="auto"/>
    </w:pPr>
    <w:rPr>
      <w:rFonts w:ascii="Times New Roman" w:eastAsia="Calibri" w:hAnsi="Times New Roman" w:cs="Times New Roman"/>
      <w:color w:val="000000"/>
      <w:sz w:val="24"/>
      <w:szCs w:val="24"/>
      <w:lang w:val="en-GB" w:eastAsia="en-GB" w:bidi="he-IL"/>
    </w:rPr>
  </w:style>
  <w:style w:type="paragraph" w:customStyle="1" w:styleId="Bibliostandard">
    <w:name w:val="Biblio standard"/>
    <w:basedOn w:val="Normal"/>
    <w:rsid w:val="00E92AA8"/>
    <w:pPr>
      <w:spacing w:after="0" w:line="240" w:lineRule="auto"/>
      <w:ind w:left="454" w:hanging="454"/>
      <w:jc w:val="both"/>
    </w:pPr>
    <w:rPr>
      <w:rFonts w:ascii="Times New Roman" w:eastAsia="Times New Roman" w:hAnsi="Times New Roman" w:cs="Times New Roman"/>
      <w:color w:val="000000"/>
      <w:sz w:val="24"/>
      <w:szCs w:val="24"/>
      <w:lang w:val="en-GB"/>
    </w:rPr>
  </w:style>
  <w:style w:type="character" w:customStyle="1" w:styleId="xacadbibprimaryauthor">
    <w:name w:val="x_acadbibprimaryauthor"/>
    <w:basedOn w:val="DefaultParagraphFont"/>
    <w:rsid w:val="00E92AA8"/>
  </w:style>
  <w:style w:type="character" w:customStyle="1" w:styleId="xacadbibsecondaryauthor">
    <w:name w:val="x_acadbibsecondaryauthor"/>
    <w:basedOn w:val="DefaultParagraphFont"/>
    <w:rsid w:val="00E92AA8"/>
  </w:style>
  <w:style w:type="character" w:customStyle="1" w:styleId="xacadbibtitle">
    <w:name w:val="x_acadbibtitle"/>
    <w:basedOn w:val="DefaultParagraphFont"/>
    <w:rsid w:val="00E92AA8"/>
  </w:style>
  <w:style w:type="character" w:customStyle="1" w:styleId="xacadbibserialtitle">
    <w:name w:val="x_acadbibserialtitle"/>
    <w:basedOn w:val="DefaultParagraphFont"/>
    <w:rsid w:val="00E92AA8"/>
  </w:style>
  <w:style w:type="character" w:customStyle="1" w:styleId="xacadbibisbn">
    <w:name w:val="x_acadbibisbn"/>
    <w:basedOn w:val="DefaultParagraphFont"/>
    <w:rsid w:val="00E92AA8"/>
  </w:style>
  <w:style w:type="character" w:customStyle="1" w:styleId="xacadbibserialcoll">
    <w:name w:val="x_acadbibserialcoll"/>
    <w:basedOn w:val="DefaultParagraphFont"/>
    <w:rsid w:val="00E92AA8"/>
  </w:style>
  <w:style w:type="paragraph" w:customStyle="1" w:styleId="Biblioreference">
    <w:name w:val="Biblio reference"/>
    <w:basedOn w:val="Normal"/>
    <w:rsid w:val="00E92AA8"/>
    <w:pPr>
      <w:tabs>
        <w:tab w:val="left" w:pos="1120"/>
      </w:tabs>
      <w:spacing w:after="0" w:line="240" w:lineRule="auto"/>
      <w:ind w:left="1120" w:hanging="1120"/>
    </w:pPr>
    <w:rPr>
      <w:rFonts w:ascii="Times New Roman" w:eastAsia="Times New Roman" w:hAnsi="Times New Roman" w:cs="Times New Roman"/>
      <w:sz w:val="24"/>
      <w:szCs w:val="20"/>
      <w:lang w:val="en-GB" w:eastAsia="en-GB"/>
    </w:rPr>
  </w:style>
  <w:style w:type="character" w:styleId="CommentReference">
    <w:name w:val="annotation reference"/>
    <w:uiPriority w:val="99"/>
    <w:semiHidden/>
    <w:unhideWhenUsed/>
    <w:rsid w:val="00E92AA8"/>
    <w:rPr>
      <w:sz w:val="16"/>
      <w:szCs w:val="16"/>
    </w:rPr>
  </w:style>
  <w:style w:type="character" w:customStyle="1" w:styleId="CommentSubjectChar">
    <w:name w:val="Comment Subject Char"/>
    <w:link w:val="CommentSubject"/>
    <w:uiPriority w:val="99"/>
    <w:semiHidden/>
    <w:rsid w:val="00E92AA8"/>
    <w:rPr>
      <w:rFonts w:ascii="Times New Roman" w:hAnsi="Times New Roman"/>
      <w:b/>
      <w:bCs/>
    </w:rPr>
  </w:style>
  <w:style w:type="paragraph" w:customStyle="1" w:styleId="CommentSubject1">
    <w:name w:val="Comment Subject1"/>
    <w:basedOn w:val="CommentText"/>
    <w:next w:val="CommentText"/>
    <w:uiPriority w:val="99"/>
    <w:semiHidden/>
    <w:unhideWhenUsed/>
    <w:rsid w:val="00E92AA8"/>
    <w:rPr>
      <w:rFonts w:cs="Arial"/>
      <w:b/>
      <w:bCs/>
      <w:sz w:val="22"/>
      <w:szCs w:val="22"/>
    </w:rPr>
  </w:style>
  <w:style w:type="character" w:customStyle="1" w:styleId="CommentSubjectChar1">
    <w:name w:val="Comment Subject Char1"/>
    <w:basedOn w:val="CommentTextChar"/>
    <w:uiPriority w:val="99"/>
    <w:semiHidden/>
    <w:rsid w:val="00E92AA8"/>
    <w:rPr>
      <w:rFonts w:ascii="Times New Roman" w:eastAsia="Calibri" w:hAnsi="Times New Roman" w:cs="Times New Roman"/>
      <w:b/>
      <w:bCs/>
      <w:sz w:val="20"/>
      <w:szCs w:val="20"/>
      <w:lang w:val="en-GB"/>
    </w:rPr>
  </w:style>
  <w:style w:type="paragraph" w:customStyle="1" w:styleId="Pa12">
    <w:name w:val="Pa12"/>
    <w:basedOn w:val="Default"/>
    <w:next w:val="Default"/>
    <w:uiPriority w:val="99"/>
    <w:rsid w:val="00E92AA8"/>
    <w:pPr>
      <w:spacing w:line="181" w:lineRule="atLeast"/>
    </w:pPr>
    <w:rPr>
      <w:rFonts w:ascii="ITC Stone Serif Std Medium" w:hAnsi="ITC Stone Serif Std Medium"/>
      <w:color w:val="auto"/>
    </w:rPr>
  </w:style>
  <w:style w:type="paragraph" w:customStyle="1" w:styleId="epigraph0">
    <w:name w:val="epigraph"/>
    <w:basedOn w:val="Normal"/>
    <w:rsid w:val="00E92AA8"/>
    <w:pPr>
      <w:spacing w:after="0" w:line="360" w:lineRule="auto"/>
      <w:ind w:left="4536"/>
    </w:pPr>
    <w:rPr>
      <w:rFonts w:ascii="Times New Roman" w:eastAsia="Times" w:hAnsi="Times New Roman" w:cs="Times New Roman"/>
      <w:sz w:val="18"/>
      <w:szCs w:val="20"/>
      <w:lang w:val="en-GB"/>
    </w:rPr>
  </w:style>
  <w:style w:type="numbering" w:customStyle="1" w:styleId="NoList2">
    <w:name w:val="No List2"/>
    <w:next w:val="NoList"/>
    <w:uiPriority w:val="99"/>
    <w:semiHidden/>
    <w:unhideWhenUsed/>
    <w:rsid w:val="00E92AA8"/>
  </w:style>
  <w:style w:type="character" w:customStyle="1" w:styleId="FootnoteTextChar1">
    <w:name w:val="Footnote Text Char1"/>
    <w:aliases w:val="Footnote Text Char Char Char Char1,Footnote Text Char Char Char3,Footnote Text Char Char1"/>
    <w:semiHidden/>
    <w:rsid w:val="00E92AA8"/>
    <w:rPr>
      <w:rFonts w:ascii="Times New Roman" w:hAnsi="Times New Roman"/>
      <w:lang w:eastAsia="en-US"/>
    </w:rPr>
  </w:style>
  <w:style w:type="numbering" w:customStyle="1" w:styleId="NoList111">
    <w:name w:val="No List111"/>
    <w:next w:val="NoList"/>
    <w:semiHidden/>
    <w:unhideWhenUsed/>
    <w:rsid w:val="00E92AA8"/>
  </w:style>
  <w:style w:type="paragraph" w:styleId="Index1">
    <w:name w:val="index 1"/>
    <w:basedOn w:val="Normal"/>
    <w:next w:val="Normal"/>
    <w:semiHidden/>
    <w:rsid w:val="00E92AA8"/>
    <w:pPr>
      <w:spacing w:after="0" w:line="360" w:lineRule="auto"/>
      <w:jc w:val="both"/>
    </w:pPr>
    <w:rPr>
      <w:rFonts w:ascii="Times New Roman" w:eastAsia="Times New Roman" w:hAnsi="Times New Roman" w:cs="Times New Roman"/>
      <w:sz w:val="20"/>
      <w:szCs w:val="20"/>
      <w:lang w:val="en-GB" w:eastAsia="en-GB"/>
    </w:rPr>
  </w:style>
  <w:style w:type="character" w:styleId="PageNumber">
    <w:name w:val="page number"/>
    <w:rsid w:val="00E92AA8"/>
    <w:rPr>
      <w:rFonts w:ascii="Times New Roman" w:hAnsi="Times New Roman"/>
      <w:sz w:val="22"/>
    </w:rPr>
  </w:style>
  <w:style w:type="paragraph" w:customStyle="1" w:styleId="Chapterheading">
    <w:name w:val="Chapter heading"/>
    <w:basedOn w:val="Normal"/>
    <w:rsid w:val="00E92AA8"/>
    <w:pPr>
      <w:spacing w:after="0" w:line="360" w:lineRule="auto"/>
      <w:jc w:val="center"/>
    </w:pPr>
    <w:rPr>
      <w:rFonts w:ascii="Times New Roman" w:eastAsia="Times New Roman" w:hAnsi="Times New Roman" w:cs="Times New Roman"/>
      <w:b/>
      <w:kern w:val="32"/>
      <w:sz w:val="24"/>
      <w:szCs w:val="20"/>
      <w:lang w:val="en-GB" w:eastAsia="en-GB"/>
    </w:rPr>
  </w:style>
  <w:style w:type="character" w:customStyle="1" w:styleId="footnotetextChar2">
    <w:name w:val="footnote text Char"/>
    <w:rsid w:val="00E92AA8"/>
    <w:rPr>
      <w:rFonts w:ascii="Times New Roman" w:hAnsi="Times New Roman"/>
      <w:sz w:val="20"/>
      <w:szCs w:val="20"/>
      <w:lang w:eastAsia="en-GB"/>
    </w:rPr>
  </w:style>
  <w:style w:type="character" w:customStyle="1" w:styleId="a1">
    <w:name w:val="a1"/>
    <w:basedOn w:val="DefaultParagraphFont"/>
    <w:rsid w:val="00E92AA8"/>
    <w:rPr>
      <w:rFonts w:ascii="Times New Roman" w:hAnsi="Times New Roman" w:cs="Times New Roman" w:hint="default"/>
      <w:b w:val="0"/>
      <w:bCs w:val="0"/>
      <w:i w:val="0"/>
      <w:iCs w:val="0"/>
      <w:bdr w:val="none" w:sz="0" w:space="0" w:color="auto" w:frame="1"/>
    </w:rPr>
  </w:style>
  <w:style w:type="character" w:customStyle="1" w:styleId="a2">
    <w:name w:val="a2"/>
    <w:basedOn w:val="DefaultParagraphFont"/>
    <w:rsid w:val="00E92AA8"/>
    <w:rPr>
      <w:rFonts w:ascii="Times New Roman" w:hAnsi="Times New Roman" w:cs="Times New Roman" w:hint="default"/>
      <w:b w:val="0"/>
      <w:bCs w:val="0"/>
      <w:i/>
      <w:iCs/>
      <w:bdr w:val="none" w:sz="0" w:space="0" w:color="auto" w:frame="1"/>
    </w:rPr>
  </w:style>
  <w:style w:type="character" w:customStyle="1" w:styleId="hvr">
    <w:name w:val="hvr"/>
    <w:basedOn w:val="DefaultParagraphFont"/>
    <w:rsid w:val="00E92AA8"/>
  </w:style>
  <w:style w:type="paragraph" w:styleId="EndnoteText">
    <w:name w:val="endnote text"/>
    <w:basedOn w:val="Normal"/>
    <w:link w:val="EndnoteTextChar"/>
    <w:semiHidden/>
    <w:unhideWhenUsed/>
    <w:rsid w:val="00E92AA8"/>
    <w:pPr>
      <w:spacing w:after="0" w:line="240" w:lineRule="auto"/>
    </w:pPr>
    <w:rPr>
      <w:lang w:bidi="he-IL"/>
    </w:rPr>
  </w:style>
  <w:style w:type="character" w:customStyle="1" w:styleId="EndnoteTextChar2">
    <w:name w:val="Endnote Text Char2"/>
    <w:basedOn w:val="DefaultParagraphFont"/>
    <w:uiPriority w:val="99"/>
    <w:semiHidden/>
    <w:rsid w:val="00E92AA8"/>
    <w:rPr>
      <w:sz w:val="20"/>
      <w:szCs w:val="20"/>
    </w:rPr>
  </w:style>
  <w:style w:type="paragraph" w:styleId="CommentSubject">
    <w:name w:val="annotation subject"/>
    <w:basedOn w:val="CommentText"/>
    <w:next w:val="CommentText"/>
    <w:link w:val="CommentSubjectChar"/>
    <w:uiPriority w:val="99"/>
    <w:semiHidden/>
    <w:unhideWhenUsed/>
    <w:rsid w:val="00E92AA8"/>
    <w:pPr>
      <w:spacing w:after="160"/>
      <w:contextualSpacing w:val="0"/>
      <w:jc w:val="left"/>
    </w:pPr>
    <w:rPr>
      <w:rFonts w:eastAsiaTheme="minorHAnsi" w:cstheme="minorBidi"/>
      <w:b/>
      <w:bCs/>
      <w:sz w:val="22"/>
      <w:szCs w:val="22"/>
      <w:lang w:val="en-US"/>
    </w:rPr>
  </w:style>
  <w:style w:type="character" w:customStyle="1" w:styleId="CommentSubjectChar2">
    <w:name w:val="Comment Subject Char2"/>
    <w:basedOn w:val="CommentTextChar"/>
    <w:uiPriority w:val="99"/>
    <w:semiHidden/>
    <w:rsid w:val="00E92AA8"/>
    <w:rPr>
      <w:rFonts w:ascii="Times New Roman" w:eastAsia="Calibri" w:hAnsi="Times New Roman" w:cs="Times New Roman"/>
      <w:b/>
      <w:bCs/>
      <w:sz w:val="20"/>
      <w:szCs w:val="20"/>
      <w:lang w:val="en-GB"/>
    </w:rPr>
  </w:style>
  <w:style w:type="paragraph" w:styleId="Revision">
    <w:name w:val="Revision"/>
    <w:hidden/>
    <w:uiPriority w:val="99"/>
    <w:semiHidden/>
    <w:rsid w:val="00B53A7E"/>
    <w:pPr>
      <w:spacing w:after="0" w:line="240" w:lineRule="auto"/>
    </w:pPr>
  </w:style>
  <w:style w:type="character" w:styleId="UnresolvedMention">
    <w:name w:val="Unresolved Mention"/>
    <w:basedOn w:val="DefaultParagraphFont"/>
    <w:uiPriority w:val="99"/>
    <w:semiHidden/>
    <w:unhideWhenUsed/>
    <w:rsid w:val="006E4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22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doi.org/10.1007/s11229-024-04703-y__;!!CzAuKJ42GuquVTTmVmPViYEvSg!MR8bMy0jxAwCv-HbRBJkqeQDSvpJWw3U9O_WlPWWUBWj0yGPC-WcaQcTv4GSz3iKATSK_BpATst95TTR2G9zvJvGA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doi.org/10.3390/rel16050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FF613-5579-42FB-ADBD-7A4DED08FF6E}">
  <ds:schemaRefs>
    <ds:schemaRef ds:uri="http://schemas.openxmlformats.org/officeDocument/2006/bibliography"/>
  </ds:schemaRefs>
</ds:datastoreItem>
</file>

<file path=docMetadata/LabelInfo.xml><?xml version="1.0" encoding="utf-8"?>
<clbl:labelList xmlns:clbl="http://schemas.microsoft.com/office/2020/mipLabelMetadata">
  <clbl:label id="{93e6beba-c4aa-4731-af5d-d735b097eadb}" enabled="0" method="" siteId="{93e6beba-c4aa-4731-af5d-d735b097eadb}" removed="1"/>
</clbl:labelList>
</file>

<file path=docProps/app.xml><?xml version="1.0" encoding="utf-8"?>
<Properties xmlns="http://schemas.openxmlformats.org/officeDocument/2006/extended-properties" xmlns:vt="http://schemas.openxmlformats.org/officeDocument/2006/docPropsVTypes">
  <Template>Normal</Template>
  <TotalTime>44</TotalTime>
  <Pages>33</Pages>
  <Words>8311</Words>
  <Characters>47374</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Coliva Annalisa</dc:creator>
  <cp:keywords/>
  <dc:description/>
  <cp:lastModifiedBy>Daniele Moyal-Sharrock</cp:lastModifiedBy>
  <cp:revision>4</cp:revision>
  <cp:lastPrinted>2022-11-03T00:40:00Z</cp:lastPrinted>
  <dcterms:created xsi:type="dcterms:W3CDTF">2025-10-02T14:27:00Z</dcterms:created>
  <dcterms:modified xsi:type="dcterms:W3CDTF">2025-10-02T15:11:00Z</dcterms:modified>
</cp:coreProperties>
</file>